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4D10E" w14:textId="47F7F982" w:rsidR="00E61527" w:rsidRPr="00A90777" w:rsidRDefault="00E61527" w:rsidP="00A90777">
      <w:pPr>
        <w:jc w:val="center"/>
        <w:rPr>
          <w:b/>
          <w:bCs/>
          <w:sz w:val="28"/>
          <w:szCs w:val="28"/>
          <w:u w:val="single"/>
          <w:lang w:val="en-GB"/>
        </w:rPr>
      </w:pPr>
      <w:r w:rsidRPr="00A90777">
        <w:rPr>
          <w:b/>
          <w:bCs/>
          <w:sz w:val="28"/>
          <w:szCs w:val="28"/>
          <w:u w:val="single"/>
          <w:lang w:val="en-GB"/>
        </w:rPr>
        <w:t>Stewardship and Engagement</w:t>
      </w:r>
    </w:p>
    <w:p w14:paraId="290F5485" w14:textId="467B9B58" w:rsidR="00E61527" w:rsidRPr="00693F8F" w:rsidRDefault="00E61527" w:rsidP="00693F8F">
      <w:pPr>
        <w:jc w:val="center"/>
        <w:rPr>
          <w:b/>
          <w:bCs/>
          <w:sz w:val="28"/>
          <w:szCs w:val="28"/>
          <w:u w:val="single"/>
          <w:lang w:val="en-GB"/>
        </w:rPr>
      </w:pPr>
      <w:r w:rsidRPr="00A90777">
        <w:rPr>
          <w:b/>
          <w:bCs/>
          <w:sz w:val="28"/>
          <w:szCs w:val="28"/>
          <w:u w:val="single"/>
          <w:lang w:val="en-GB"/>
        </w:rPr>
        <w:t>Implementation Statement – 2019/2020</w:t>
      </w:r>
    </w:p>
    <w:p w14:paraId="4C2A3D78" w14:textId="77777777" w:rsidR="00B24459" w:rsidRPr="00B24459" w:rsidRDefault="00B24459" w:rsidP="00B24459">
      <w:pPr>
        <w:pStyle w:val="IntenseQuote"/>
        <w:rPr>
          <w:lang w:val="en-GB"/>
        </w:rPr>
      </w:pPr>
      <w:r w:rsidRPr="00B24459">
        <w:rPr>
          <w:lang w:val="en-GB"/>
        </w:rPr>
        <w:t>Introduction</w:t>
      </w:r>
    </w:p>
    <w:p w14:paraId="0B85058E" w14:textId="77777777" w:rsidR="00B24459" w:rsidRDefault="00B24459" w:rsidP="00B24459">
      <w:pPr>
        <w:rPr>
          <w:lang w:val="en-GB"/>
        </w:rPr>
      </w:pPr>
      <w:r w:rsidRPr="00B24459">
        <w:rPr>
          <w:lang w:val="en-GB"/>
        </w:rPr>
        <w:t xml:space="preserve">On 6 June 2019, the Government published the Occupational Pension Schemes (Investment and Disclosure) (Amendment) Regulations (“the Regulations”). The Regulations require that the Trustees outline how they have ensured </w:t>
      </w:r>
      <w:r>
        <w:rPr>
          <w:lang w:val="en-GB"/>
        </w:rPr>
        <w:t xml:space="preserve">compliance with </w:t>
      </w:r>
      <w:r w:rsidRPr="00B24459">
        <w:rPr>
          <w:lang w:val="en-GB"/>
        </w:rPr>
        <w:t>the policies and objectives set out in their Statement of Investment Principles (SIP) over the course of the year</w:t>
      </w:r>
      <w:r>
        <w:rPr>
          <w:lang w:val="en-GB"/>
        </w:rPr>
        <w:t xml:space="preserve"> under review</w:t>
      </w:r>
      <w:r w:rsidRPr="00B24459">
        <w:rPr>
          <w:lang w:val="en-GB"/>
        </w:rPr>
        <w:t xml:space="preserve">. </w:t>
      </w:r>
    </w:p>
    <w:p w14:paraId="0932CDB7" w14:textId="3C475408" w:rsidR="00B24459" w:rsidRDefault="00B24459" w:rsidP="00B24459">
      <w:pPr>
        <w:rPr>
          <w:lang w:val="en-GB"/>
        </w:rPr>
      </w:pPr>
      <w:r>
        <w:rPr>
          <w:lang w:val="en-GB"/>
        </w:rPr>
        <w:t xml:space="preserve">This statement has been prepared by the Trustees of the </w:t>
      </w:r>
      <w:r w:rsidR="00007DFF" w:rsidRPr="00007DFF">
        <w:rPr>
          <w:lang w:val="en-GB"/>
        </w:rPr>
        <w:t>Stepan UK Ltd Retirement Benefits Scheme</w:t>
      </w:r>
      <w:r w:rsidR="00C14237" w:rsidRPr="00C14237">
        <w:rPr>
          <w:lang w:val="en-GB"/>
        </w:rPr>
        <w:t xml:space="preserve"> </w:t>
      </w:r>
      <w:r w:rsidRPr="00B24459">
        <w:rPr>
          <w:lang w:val="en-GB"/>
        </w:rPr>
        <w:t xml:space="preserve">and covers the year ending 31 </w:t>
      </w:r>
      <w:r>
        <w:rPr>
          <w:lang w:val="en-GB"/>
        </w:rPr>
        <w:t>March 2020</w:t>
      </w:r>
      <w:r w:rsidRPr="00B24459">
        <w:rPr>
          <w:lang w:val="en-GB"/>
        </w:rPr>
        <w:t>.</w:t>
      </w:r>
    </w:p>
    <w:p w14:paraId="195BAF09" w14:textId="419C6357" w:rsidR="00B24459" w:rsidRDefault="00B24459" w:rsidP="00B24459">
      <w:pPr>
        <w:rPr>
          <w:lang w:val="en-GB"/>
        </w:rPr>
      </w:pPr>
      <w:r>
        <w:rPr>
          <w:lang w:val="en-GB"/>
        </w:rPr>
        <w:t xml:space="preserve">The Trustees Stewardship and Engagement policies are included in the Scheme’s Statement of Investment Principles which is available on request. </w:t>
      </w:r>
    </w:p>
    <w:p w14:paraId="6D569C72" w14:textId="77777777" w:rsidR="00B24459" w:rsidRPr="00B24459" w:rsidRDefault="00B24459" w:rsidP="00B24459">
      <w:pPr>
        <w:pStyle w:val="IntenseQuote"/>
        <w:rPr>
          <w:lang w:val="en-GB"/>
        </w:rPr>
      </w:pPr>
      <w:r w:rsidRPr="00B24459">
        <w:rPr>
          <w:lang w:val="en-GB"/>
        </w:rPr>
        <w:t xml:space="preserve">Changes to the </w:t>
      </w:r>
      <w:r w:rsidR="00A90777">
        <w:rPr>
          <w:lang w:val="en-GB"/>
        </w:rPr>
        <w:t>key policies regarding Stewardship and Engagement</w:t>
      </w:r>
    </w:p>
    <w:p w14:paraId="2EBCB9C0" w14:textId="77777777" w:rsidR="00B24459" w:rsidRDefault="00B24459" w:rsidP="00B24459">
      <w:pPr>
        <w:rPr>
          <w:lang w:val="en-GB"/>
        </w:rPr>
      </w:pPr>
      <w:r w:rsidRPr="00B24459">
        <w:rPr>
          <w:lang w:val="en-GB"/>
        </w:rPr>
        <w:t xml:space="preserve">The </w:t>
      </w:r>
      <w:r>
        <w:rPr>
          <w:lang w:val="en-GB"/>
        </w:rPr>
        <w:t>SIP</w:t>
      </w:r>
      <w:r w:rsidRPr="00B24459">
        <w:rPr>
          <w:lang w:val="en-GB"/>
        </w:rPr>
        <w:t xml:space="preserve"> ha</w:t>
      </w:r>
      <w:r>
        <w:rPr>
          <w:lang w:val="en-GB"/>
        </w:rPr>
        <w:t>s</w:t>
      </w:r>
      <w:r w:rsidRPr="00B24459">
        <w:rPr>
          <w:lang w:val="en-GB"/>
        </w:rPr>
        <w:t xml:space="preserve"> been reviewed and revised over the course of 2020 to take account of further changes which are required by the Regulations noted above. In particular, the Trustees have outlined their policies regarding how they incentivise asset managers to achieve their long-term objectives, their policies cost transparency</w:t>
      </w:r>
      <w:r>
        <w:rPr>
          <w:lang w:val="en-GB"/>
        </w:rPr>
        <w:t xml:space="preserve"> and</w:t>
      </w:r>
      <w:r w:rsidRPr="00B24459">
        <w:rPr>
          <w:lang w:val="en-GB"/>
        </w:rPr>
        <w:t xml:space="preserve"> their policies on voting and stewardship rights</w:t>
      </w:r>
      <w:r>
        <w:rPr>
          <w:lang w:val="en-GB"/>
        </w:rPr>
        <w:t xml:space="preserve">. </w:t>
      </w:r>
    </w:p>
    <w:p w14:paraId="0BF299BD" w14:textId="30C846FD" w:rsidR="00C14237" w:rsidRDefault="00A90777" w:rsidP="00B24459">
      <w:pPr>
        <w:rPr>
          <w:lang w:val="en-GB"/>
        </w:rPr>
      </w:pPr>
      <w:r w:rsidRPr="00007DFF">
        <w:rPr>
          <w:lang w:val="en-GB"/>
        </w:rPr>
        <w:t>During the course of the year, the</w:t>
      </w:r>
      <w:r w:rsidRPr="00A90777">
        <w:rPr>
          <w:lang w:val="en-GB"/>
        </w:rPr>
        <w:t xml:space="preserve"> Trustees have </w:t>
      </w:r>
      <w:r w:rsidR="00C14237">
        <w:rPr>
          <w:lang w:val="en-GB"/>
        </w:rPr>
        <w:t>adopted a Fiduciary Management arrange</w:t>
      </w:r>
      <w:r w:rsidR="00CB3B15">
        <w:rPr>
          <w:lang w:val="en-GB"/>
        </w:rPr>
        <w:t>ment</w:t>
      </w:r>
      <w:r w:rsidR="00C14237">
        <w:rPr>
          <w:lang w:val="en-GB"/>
        </w:rPr>
        <w:t xml:space="preserve"> to achieve better risk management and provide assistance with the governance burden on Trustees. Having a Fiduciary Management partner assist with the formulation of voting guidelines and reporting is one such area that the Fiduciary Manager is providing assistance with.</w:t>
      </w:r>
      <w:r w:rsidR="00767522">
        <w:rPr>
          <w:lang w:val="en-GB"/>
        </w:rPr>
        <w:t xml:space="preserve"> The Fiduciary Management arrangement has incepted in December and as such was only in place for the final 4 months of the financial year. To best demonstrate the process, the key statistics included below, captures the activity carried out had the current arrangement been in place over the entire year.</w:t>
      </w:r>
    </w:p>
    <w:p w14:paraId="33008927" w14:textId="2EC5C991" w:rsidR="00A90777" w:rsidRDefault="00C14237" w:rsidP="00B24459">
      <w:pPr>
        <w:rPr>
          <w:lang w:val="en-GB"/>
        </w:rPr>
      </w:pPr>
      <w:r>
        <w:rPr>
          <w:lang w:val="en-GB"/>
        </w:rPr>
        <w:t>As such the Trustees have r</w:t>
      </w:r>
      <w:r w:rsidR="00A90777" w:rsidRPr="00A90777">
        <w:rPr>
          <w:lang w:val="en-GB"/>
        </w:rPr>
        <w:t>eceived presentations from the Fiduciary Manager in relation to how the votes are carried out on their behalf and more generally on how environmental social and governance factors are integrated into the Fiduciary Managers investment philosophy and by association the underlying specialist managers used in the portfolio.</w:t>
      </w:r>
    </w:p>
    <w:p w14:paraId="369A622E" w14:textId="77777777" w:rsidR="001E756A" w:rsidRDefault="001E756A" w:rsidP="00E61527">
      <w:pPr>
        <w:pStyle w:val="IntenseQuote"/>
        <w:rPr>
          <w:lang w:val="en-GB"/>
        </w:rPr>
      </w:pPr>
      <w:r>
        <w:rPr>
          <w:lang w:val="en-GB"/>
        </w:rPr>
        <w:t>Voting behaviour</w:t>
      </w:r>
    </w:p>
    <w:p w14:paraId="5BB53D5A" w14:textId="77777777" w:rsidR="001E756A" w:rsidRDefault="001E756A" w:rsidP="006C4AF7">
      <w:pPr>
        <w:rPr>
          <w:lang w:val="en-GB"/>
        </w:rPr>
      </w:pPr>
      <w:r>
        <w:rPr>
          <w:lang w:val="en-GB"/>
        </w:rPr>
        <w:t xml:space="preserve">Under the Fiduciary Management arrangement in place, the Trustees provide the Fiduciary Manager with their policies with regards to voting and engagement. The Fiduciary Manager then votes on the Trustees behalf in lie with these policies. The </w:t>
      </w:r>
      <w:r w:rsidR="00F0104C">
        <w:rPr>
          <w:lang w:val="en-GB"/>
        </w:rPr>
        <w:t>Fiduciary</w:t>
      </w:r>
      <w:r>
        <w:rPr>
          <w:lang w:val="en-GB"/>
        </w:rPr>
        <w:t xml:space="preserve"> Manager instructs Glass Lewis, a proxy voting firm, to execute the vot</w:t>
      </w:r>
      <w:r w:rsidR="00F0104C">
        <w:rPr>
          <w:lang w:val="en-GB"/>
        </w:rPr>
        <w:t>e based on their instruction</w:t>
      </w:r>
      <w:r>
        <w:rPr>
          <w:lang w:val="en-GB"/>
        </w:rPr>
        <w:t xml:space="preserve">. </w:t>
      </w:r>
    </w:p>
    <w:p w14:paraId="52FF79D7" w14:textId="77777777" w:rsidR="001E756A" w:rsidRDefault="00E61527" w:rsidP="006C4AF7">
      <w:pPr>
        <w:rPr>
          <w:lang w:val="en-GB"/>
        </w:rPr>
      </w:pPr>
      <w:r>
        <w:rPr>
          <w:lang w:val="en-GB"/>
        </w:rPr>
        <w:t xml:space="preserve">A total </w:t>
      </w:r>
      <w:r w:rsidRPr="00007DFF">
        <w:rPr>
          <w:lang w:val="en-GB"/>
        </w:rPr>
        <w:t>of 8,550 votes were</w:t>
      </w:r>
      <w:r>
        <w:rPr>
          <w:lang w:val="en-GB"/>
        </w:rPr>
        <w:t xml:space="preserve"> placed on securities held in the Scheme’s Growth portfolio over the </w:t>
      </w:r>
      <w:r w:rsidR="00B24459">
        <w:rPr>
          <w:lang w:val="en-GB"/>
        </w:rPr>
        <w:t xml:space="preserve">period under review. </w:t>
      </w:r>
      <w:r w:rsidR="001E756A">
        <w:rPr>
          <w:lang w:val="en-GB"/>
        </w:rPr>
        <w:t>A summary of th</w:t>
      </w:r>
      <w:r w:rsidR="00B24459">
        <w:rPr>
          <w:lang w:val="en-GB"/>
        </w:rPr>
        <w:t>is</w:t>
      </w:r>
      <w:r w:rsidR="001E756A">
        <w:rPr>
          <w:lang w:val="en-GB"/>
        </w:rPr>
        <w:t xml:space="preserve"> voting activity carried out on behalf of the Trustees is set out below.</w:t>
      </w:r>
    </w:p>
    <w:p w14:paraId="0D677AE7" w14:textId="77777777" w:rsidR="00693F8F" w:rsidRDefault="00693F8F">
      <w:pPr>
        <w:rPr>
          <w:rFonts w:asciiTheme="majorHAnsi" w:hAnsiTheme="majorHAnsi" w:cs="Arial"/>
          <w:b/>
          <w:color w:val="DD6600" w:themeColor="accent4"/>
          <w:spacing w:val="-5"/>
          <w:sz w:val="24"/>
          <w:szCs w:val="24"/>
          <w:lang w:val="en-GB"/>
        </w:rPr>
      </w:pPr>
      <w:r>
        <w:rPr>
          <w:color w:val="DD6600" w:themeColor="accent4"/>
          <w:lang w:val="en-GB"/>
        </w:rPr>
        <w:br w:type="page"/>
      </w:r>
    </w:p>
    <w:p w14:paraId="38E764C0" w14:textId="38BABD13" w:rsidR="001E756A" w:rsidRPr="006209E3" w:rsidRDefault="001E756A" w:rsidP="006209E3">
      <w:pPr>
        <w:pStyle w:val="Heading2"/>
        <w:rPr>
          <w:color w:val="DD6600" w:themeColor="accent4"/>
          <w:lang w:val="en-GB"/>
        </w:rPr>
      </w:pPr>
      <w:r w:rsidRPr="00E61527">
        <w:rPr>
          <w:color w:val="DD6600" w:themeColor="accent4"/>
          <w:lang w:val="en-GB"/>
        </w:rPr>
        <w:lastRenderedPageBreak/>
        <w:t xml:space="preserve">Key </w:t>
      </w:r>
      <w:r w:rsidR="00E61527" w:rsidRPr="00E61527">
        <w:rPr>
          <w:color w:val="DD6600" w:themeColor="accent4"/>
          <w:lang w:val="en-GB"/>
        </w:rPr>
        <w:t>statistics</w:t>
      </w:r>
    </w:p>
    <w:tbl>
      <w:tblPr>
        <w:tblStyle w:val="ListTable4-Accent1"/>
        <w:tblW w:w="8784" w:type="dxa"/>
        <w:tblLook w:val="0420" w:firstRow="1" w:lastRow="0" w:firstColumn="0" w:lastColumn="0" w:noHBand="0" w:noVBand="1"/>
      </w:tblPr>
      <w:tblGrid>
        <w:gridCol w:w="3681"/>
        <w:gridCol w:w="1843"/>
        <w:gridCol w:w="1701"/>
        <w:gridCol w:w="1559"/>
      </w:tblGrid>
      <w:tr w:rsidR="00B24459" w:rsidRPr="00572C82" w14:paraId="6E19947C" w14:textId="77777777" w:rsidTr="00693F8F">
        <w:trPr>
          <w:cnfStyle w:val="100000000000" w:firstRow="1" w:lastRow="0" w:firstColumn="0" w:lastColumn="0" w:oddVBand="0" w:evenVBand="0" w:oddHBand="0" w:evenHBand="0" w:firstRowFirstColumn="0" w:firstRowLastColumn="0" w:lastRowFirstColumn="0" w:lastRowLastColumn="0"/>
          <w:trHeight w:val="242"/>
        </w:trPr>
        <w:tc>
          <w:tcPr>
            <w:tcW w:w="3681" w:type="dxa"/>
            <w:hideMark/>
          </w:tcPr>
          <w:p w14:paraId="2010F1DE" w14:textId="77777777" w:rsidR="00572C82" w:rsidRPr="00572C82" w:rsidRDefault="00572C82" w:rsidP="00572C82">
            <w:r w:rsidRPr="00572C82">
              <w:t> </w:t>
            </w:r>
          </w:p>
        </w:tc>
        <w:tc>
          <w:tcPr>
            <w:tcW w:w="1843" w:type="dxa"/>
            <w:hideMark/>
          </w:tcPr>
          <w:p w14:paraId="451B9C80" w14:textId="77777777" w:rsidR="00572C82" w:rsidRPr="00572C82" w:rsidRDefault="00B24459" w:rsidP="00E61527">
            <w:pPr>
              <w:jc w:val="center"/>
            </w:pPr>
            <w:r>
              <w:rPr>
                <w:b w:val="0"/>
                <w:bCs w:val="0"/>
              </w:rPr>
              <w:t xml:space="preserve">Management </w:t>
            </w:r>
            <w:r w:rsidRPr="00572C82">
              <w:rPr>
                <w:b w:val="0"/>
                <w:bCs w:val="0"/>
              </w:rPr>
              <w:t>Proposals</w:t>
            </w:r>
          </w:p>
        </w:tc>
        <w:tc>
          <w:tcPr>
            <w:tcW w:w="1701" w:type="dxa"/>
            <w:hideMark/>
          </w:tcPr>
          <w:p w14:paraId="4F4FC5F2" w14:textId="77777777" w:rsidR="00572C82" w:rsidRPr="00572C82" w:rsidRDefault="00B24459" w:rsidP="00E61527">
            <w:pPr>
              <w:jc w:val="center"/>
            </w:pPr>
            <w:r>
              <w:rPr>
                <w:b w:val="0"/>
                <w:bCs w:val="0"/>
              </w:rPr>
              <w:t>Share Holder Proposal</w:t>
            </w:r>
          </w:p>
        </w:tc>
        <w:tc>
          <w:tcPr>
            <w:tcW w:w="1559" w:type="dxa"/>
            <w:hideMark/>
          </w:tcPr>
          <w:p w14:paraId="4269C0E3" w14:textId="77777777" w:rsidR="00572C82" w:rsidRPr="00572C82" w:rsidRDefault="00572C82" w:rsidP="00E61527">
            <w:pPr>
              <w:jc w:val="center"/>
            </w:pPr>
            <w:r w:rsidRPr="00572C82">
              <w:t>Total Proposals</w:t>
            </w:r>
          </w:p>
        </w:tc>
      </w:tr>
      <w:tr w:rsidR="00572C82" w:rsidRPr="00572C82" w14:paraId="7950DEBF" w14:textId="77777777" w:rsidTr="00693F8F">
        <w:trPr>
          <w:cnfStyle w:val="000000100000" w:firstRow="0" w:lastRow="0" w:firstColumn="0" w:lastColumn="0" w:oddVBand="0" w:evenVBand="0" w:oddHBand="1" w:evenHBand="0" w:firstRowFirstColumn="0" w:firstRowLastColumn="0" w:lastRowFirstColumn="0" w:lastRowLastColumn="0"/>
          <w:trHeight w:val="242"/>
        </w:trPr>
        <w:tc>
          <w:tcPr>
            <w:tcW w:w="3681" w:type="dxa"/>
            <w:hideMark/>
          </w:tcPr>
          <w:p w14:paraId="666258F3" w14:textId="77777777" w:rsidR="00572C82" w:rsidRPr="00572C82" w:rsidRDefault="00572C82">
            <w:r w:rsidRPr="00572C82">
              <w:t>With Management</w:t>
            </w:r>
          </w:p>
        </w:tc>
        <w:tc>
          <w:tcPr>
            <w:tcW w:w="1843" w:type="dxa"/>
            <w:hideMark/>
          </w:tcPr>
          <w:p w14:paraId="65FB3E83" w14:textId="77777777" w:rsidR="00572C82" w:rsidRPr="00572C82" w:rsidRDefault="00572C82" w:rsidP="00E61527">
            <w:pPr>
              <w:jc w:val="center"/>
            </w:pPr>
            <w:r w:rsidRPr="00572C82">
              <w:t>7331</w:t>
            </w:r>
          </w:p>
        </w:tc>
        <w:tc>
          <w:tcPr>
            <w:tcW w:w="1701" w:type="dxa"/>
            <w:hideMark/>
          </w:tcPr>
          <w:p w14:paraId="729A186E" w14:textId="77777777" w:rsidR="00572C82" w:rsidRPr="00572C82" w:rsidRDefault="00572C82" w:rsidP="00E61527">
            <w:pPr>
              <w:jc w:val="center"/>
            </w:pPr>
            <w:r w:rsidRPr="00572C82">
              <w:t>110</w:t>
            </w:r>
          </w:p>
        </w:tc>
        <w:tc>
          <w:tcPr>
            <w:tcW w:w="1559" w:type="dxa"/>
            <w:hideMark/>
          </w:tcPr>
          <w:p w14:paraId="1CA822EF" w14:textId="77777777" w:rsidR="00572C82" w:rsidRPr="00572C82" w:rsidRDefault="00572C82" w:rsidP="00E61527">
            <w:pPr>
              <w:jc w:val="center"/>
              <w:rPr>
                <w:b/>
                <w:bCs/>
              </w:rPr>
            </w:pPr>
            <w:r w:rsidRPr="00572C82">
              <w:rPr>
                <w:b/>
                <w:bCs/>
              </w:rPr>
              <w:t>7441</w:t>
            </w:r>
          </w:p>
        </w:tc>
      </w:tr>
      <w:tr w:rsidR="00572C82" w:rsidRPr="00572C82" w14:paraId="6835DFBA" w14:textId="77777777" w:rsidTr="00693F8F">
        <w:trPr>
          <w:trHeight w:val="242"/>
        </w:trPr>
        <w:tc>
          <w:tcPr>
            <w:tcW w:w="3681" w:type="dxa"/>
            <w:hideMark/>
          </w:tcPr>
          <w:p w14:paraId="2E7E40DF" w14:textId="77777777" w:rsidR="00572C82" w:rsidRPr="00572C82" w:rsidRDefault="00572C82">
            <w:r w:rsidRPr="00572C82">
              <w:t>Against Management</w:t>
            </w:r>
          </w:p>
        </w:tc>
        <w:tc>
          <w:tcPr>
            <w:tcW w:w="1843" w:type="dxa"/>
            <w:hideMark/>
          </w:tcPr>
          <w:p w14:paraId="3C8B6BAD" w14:textId="77777777" w:rsidR="00572C82" w:rsidRPr="00572C82" w:rsidRDefault="00572C82" w:rsidP="00E61527">
            <w:pPr>
              <w:jc w:val="center"/>
            </w:pPr>
            <w:r w:rsidRPr="00572C82">
              <w:t>513</w:t>
            </w:r>
          </w:p>
        </w:tc>
        <w:tc>
          <w:tcPr>
            <w:tcW w:w="1701" w:type="dxa"/>
            <w:hideMark/>
          </w:tcPr>
          <w:p w14:paraId="4BAE9C52" w14:textId="77777777" w:rsidR="00572C82" w:rsidRPr="00572C82" w:rsidRDefault="00572C82" w:rsidP="00E61527">
            <w:pPr>
              <w:jc w:val="center"/>
            </w:pPr>
            <w:r w:rsidRPr="00572C82">
              <w:t>81</w:t>
            </w:r>
          </w:p>
        </w:tc>
        <w:tc>
          <w:tcPr>
            <w:tcW w:w="1559" w:type="dxa"/>
            <w:hideMark/>
          </w:tcPr>
          <w:p w14:paraId="04AFD2C7" w14:textId="77777777" w:rsidR="00572C82" w:rsidRPr="00572C82" w:rsidRDefault="00572C82" w:rsidP="00E61527">
            <w:pPr>
              <w:jc w:val="center"/>
              <w:rPr>
                <w:b/>
                <w:bCs/>
              </w:rPr>
            </w:pPr>
            <w:r w:rsidRPr="00572C82">
              <w:rPr>
                <w:b/>
                <w:bCs/>
              </w:rPr>
              <w:t>594</w:t>
            </w:r>
          </w:p>
        </w:tc>
      </w:tr>
      <w:tr w:rsidR="00572C82" w:rsidRPr="00572C82" w14:paraId="324A86E0" w14:textId="77777777" w:rsidTr="00693F8F">
        <w:trPr>
          <w:cnfStyle w:val="000000100000" w:firstRow="0" w:lastRow="0" w:firstColumn="0" w:lastColumn="0" w:oddVBand="0" w:evenVBand="0" w:oddHBand="1" w:evenHBand="0" w:firstRowFirstColumn="0" w:firstRowLastColumn="0" w:lastRowFirstColumn="0" w:lastRowLastColumn="0"/>
          <w:trHeight w:val="245"/>
        </w:trPr>
        <w:tc>
          <w:tcPr>
            <w:tcW w:w="3681" w:type="dxa"/>
            <w:hideMark/>
          </w:tcPr>
          <w:p w14:paraId="75D4CEB0" w14:textId="0F0DE09D" w:rsidR="00572C82" w:rsidRPr="00572C82" w:rsidRDefault="00693F8F">
            <w:r>
              <w:t>Votes without Management Proposal</w:t>
            </w:r>
          </w:p>
        </w:tc>
        <w:tc>
          <w:tcPr>
            <w:tcW w:w="1843" w:type="dxa"/>
            <w:hideMark/>
          </w:tcPr>
          <w:p w14:paraId="000A3A44" w14:textId="77777777" w:rsidR="00572C82" w:rsidRPr="00572C82" w:rsidRDefault="00572C82" w:rsidP="00E61527">
            <w:pPr>
              <w:jc w:val="center"/>
            </w:pPr>
            <w:r w:rsidRPr="00572C82">
              <w:t>17</w:t>
            </w:r>
          </w:p>
        </w:tc>
        <w:tc>
          <w:tcPr>
            <w:tcW w:w="1701" w:type="dxa"/>
            <w:hideMark/>
          </w:tcPr>
          <w:p w14:paraId="2369EDCA" w14:textId="77777777" w:rsidR="00572C82" w:rsidRPr="00572C82" w:rsidRDefault="00572C82" w:rsidP="00E61527">
            <w:pPr>
              <w:jc w:val="center"/>
            </w:pPr>
            <w:r w:rsidRPr="00572C82">
              <w:t>2</w:t>
            </w:r>
          </w:p>
        </w:tc>
        <w:tc>
          <w:tcPr>
            <w:tcW w:w="1559" w:type="dxa"/>
            <w:hideMark/>
          </w:tcPr>
          <w:p w14:paraId="31D422DF" w14:textId="77777777" w:rsidR="00572C82" w:rsidRPr="00572C82" w:rsidRDefault="00572C82" w:rsidP="00E61527">
            <w:pPr>
              <w:jc w:val="center"/>
              <w:rPr>
                <w:b/>
                <w:bCs/>
              </w:rPr>
            </w:pPr>
            <w:r w:rsidRPr="00572C82">
              <w:rPr>
                <w:b/>
                <w:bCs/>
              </w:rPr>
              <w:t>19</w:t>
            </w:r>
          </w:p>
        </w:tc>
      </w:tr>
      <w:tr w:rsidR="00572C82" w:rsidRPr="00572C82" w14:paraId="79B7E4A7" w14:textId="77777777" w:rsidTr="00693F8F">
        <w:trPr>
          <w:trHeight w:val="242"/>
        </w:trPr>
        <w:tc>
          <w:tcPr>
            <w:tcW w:w="3681" w:type="dxa"/>
            <w:hideMark/>
          </w:tcPr>
          <w:p w14:paraId="70250C40" w14:textId="77777777" w:rsidR="00572C82" w:rsidRPr="00572C82" w:rsidRDefault="00572C82">
            <w:r w:rsidRPr="00572C82">
              <w:t>Take No Action</w:t>
            </w:r>
          </w:p>
        </w:tc>
        <w:tc>
          <w:tcPr>
            <w:tcW w:w="1843" w:type="dxa"/>
            <w:hideMark/>
          </w:tcPr>
          <w:p w14:paraId="5853DB06" w14:textId="77777777" w:rsidR="00572C82" w:rsidRPr="00572C82" w:rsidRDefault="00572C82" w:rsidP="00E61527">
            <w:pPr>
              <w:jc w:val="center"/>
            </w:pPr>
            <w:r w:rsidRPr="00572C82">
              <w:t>485</w:t>
            </w:r>
          </w:p>
        </w:tc>
        <w:tc>
          <w:tcPr>
            <w:tcW w:w="1701" w:type="dxa"/>
            <w:hideMark/>
          </w:tcPr>
          <w:p w14:paraId="2406650D" w14:textId="77777777" w:rsidR="00572C82" w:rsidRPr="00572C82" w:rsidRDefault="00572C82" w:rsidP="00E61527">
            <w:pPr>
              <w:jc w:val="center"/>
            </w:pPr>
            <w:r w:rsidRPr="00572C82">
              <w:t>8</w:t>
            </w:r>
          </w:p>
        </w:tc>
        <w:tc>
          <w:tcPr>
            <w:tcW w:w="1559" w:type="dxa"/>
            <w:hideMark/>
          </w:tcPr>
          <w:p w14:paraId="245F5E78" w14:textId="77777777" w:rsidR="00572C82" w:rsidRPr="00572C82" w:rsidRDefault="00572C82" w:rsidP="00E61527">
            <w:pPr>
              <w:jc w:val="center"/>
              <w:rPr>
                <w:b/>
                <w:bCs/>
              </w:rPr>
            </w:pPr>
            <w:r w:rsidRPr="00572C82">
              <w:rPr>
                <w:b/>
                <w:bCs/>
              </w:rPr>
              <w:t>493</w:t>
            </w:r>
          </w:p>
        </w:tc>
      </w:tr>
      <w:tr w:rsidR="00572C82" w:rsidRPr="00572C82" w14:paraId="4AF06BB0" w14:textId="77777777" w:rsidTr="00693F8F">
        <w:trPr>
          <w:cnfStyle w:val="000000100000" w:firstRow="0" w:lastRow="0" w:firstColumn="0" w:lastColumn="0" w:oddVBand="0" w:evenVBand="0" w:oddHBand="1" w:evenHBand="0" w:firstRowFirstColumn="0" w:firstRowLastColumn="0" w:lastRowFirstColumn="0" w:lastRowLastColumn="0"/>
          <w:trHeight w:val="242"/>
        </w:trPr>
        <w:tc>
          <w:tcPr>
            <w:tcW w:w="3681" w:type="dxa"/>
            <w:hideMark/>
          </w:tcPr>
          <w:p w14:paraId="1ECBCA50" w14:textId="77777777" w:rsidR="00572C82" w:rsidRPr="00572C82" w:rsidRDefault="00572C82">
            <w:r w:rsidRPr="00572C82">
              <w:t>Unvoted</w:t>
            </w:r>
          </w:p>
        </w:tc>
        <w:tc>
          <w:tcPr>
            <w:tcW w:w="1843" w:type="dxa"/>
            <w:hideMark/>
          </w:tcPr>
          <w:p w14:paraId="0B1D2B6B" w14:textId="77777777" w:rsidR="00572C82" w:rsidRPr="00572C82" w:rsidRDefault="00572C82" w:rsidP="00E61527">
            <w:pPr>
              <w:jc w:val="center"/>
            </w:pPr>
            <w:r w:rsidRPr="00572C82">
              <w:t>2</w:t>
            </w:r>
          </w:p>
        </w:tc>
        <w:tc>
          <w:tcPr>
            <w:tcW w:w="1701" w:type="dxa"/>
            <w:hideMark/>
          </w:tcPr>
          <w:p w14:paraId="79175EDE" w14:textId="77777777" w:rsidR="00572C82" w:rsidRPr="00572C82" w:rsidRDefault="00572C82" w:rsidP="00E61527">
            <w:pPr>
              <w:jc w:val="center"/>
            </w:pPr>
            <w:r w:rsidRPr="00572C82">
              <w:t>1</w:t>
            </w:r>
          </w:p>
        </w:tc>
        <w:tc>
          <w:tcPr>
            <w:tcW w:w="1559" w:type="dxa"/>
            <w:hideMark/>
          </w:tcPr>
          <w:p w14:paraId="109F50EE" w14:textId="77777777" w:rsidR="00572C82" w:rsidRPr="00572C82" w:rsidRDefault="00572C82" w:rsidP="00E61527">
            <w:pPr>
              <w:jc w:val="center"/>
              <w:rPr>
                <w:b/>
                <w:bCs/>
              </w:rPr>
            </w:pPr>
            <w:r w:rsidRPr="00572C82">
              <w:rPr>
                <w:b/>
                <w:bCs/>
              </w:rPr>
              <w:t>3</w:t>
            </w:r>
          </w:p>
        </w:tc>
      </w:tr>
      <w:tr w:rsidR="00572C82" w:rsidRPr="00572C82" w14:paraId="7BD7E4BD" w14:textId="77777777" w:rsidTr="00693F8F">
        <w:trPr>
          <w:trHeight w:val="242"/>
        </w:trPr>
        <w:tc>
          <w:tcPr>
            <w:tcW w:w="3681" w:type="dxa"/>
            <w:hideMark/>
          </w:tcPr>
          <w:p w14:paraId="046025BE" w14:textId="77777777" w:rsidR="00572C82" w:rsidRPr="00572C82" w:rsidRDefault="00572C82">
            <w:pPr>
              <w:rPr>
                <w:b/>
                <w:bCs/>
              </w:rPr>
            </w:pPr>
            <w:r w:rsidRPr="00572C82">
              <w:rPr>
                <w:b/>
                <w:bCs/>
              </w:rPr>
              <w:t>Totals</w:t>
            </w:r>
          </w:p>
        </w:tc>
        <w:tc>
          <w:tcPr>
            <w:tcW w:w="1843" w:type="dxa"/>
            <w:hideMark/>
          </w:tcPr>
          <w:p w14:paraId="7794A597" w14:textId="77777777" w:rsidR="00572C82" w:rsidRPr="00572C82" w:rsidRDefault="00572C82" w:rsidP="00E61527">
            <w:pPr>
              <w:jc w:val="center"/>
              <w:rPr>
                <w:b/>
                <w:bCs/>
              </w:rPr>
            </w:pPr>
            <w:r w:rsidRPr="00572C82">
              <w:rPr>
                <w:b/>
                <w:bCs/>
              </w:rPr>
              <w:t>8348</w:t>
            </w:r>
          </w:p>
        </w:tc>
        <w:tc>
          <w:tcPr>
            <w:tcW w:w="1701" w:type="dxa"/>
            <w:hideMark/>
          </w:tcPr>
          <w:p w14:paraId="1CA17B35" w14:textId="77777777" w:rsidR="00572C82" w:rsidRPr="00572C82" w:rsidRDefault="00572C82" w:rsidP="00E61527">
            <w:pPr>
              <w:jc w:val="center"/>
              <w:rPr>
                <w:b/>
                <w:bCs/>
              </w:rPr>
            </w:pPr>
            <w:r w:rsidRPr="00572C82">
              <w:rPr>
                <w:b/>
                <w:bCs/>
              </w:rPr>
              <w:t>202</w:t>
            </w:r>
          </w:p>
        </w:tc>
        <w:tc>
          <w:tcPr>
            <w:tcW w:w="1559" w:type="dxa"/>
            <w:hideMark/>
          </w:tcPr>
          <w:p w14:paraId="7A0062B6" w14:textId="77777777" w:rsidR="00572C82" w:rsidRPr="00572C82" w:rsidRDefault="00572C82" w:rsidP="00E61527">
            <w:pPr>
              <w:jc w:val="center"/>
              <w:rPr>
                <w:b/>
                <w:bCs/>
              </w:rPr>
            </w:pPr>
            <w:r w:rsidRPr="00572C82">
              <w:rPr>
                <w:b/>
                <w:bCs/>
              </w:rPr>
              <w:t>8550</w:t>
            </w:r>
          </w:p>
        </w:tc>
      </w:tr>
    </w:tbl>
    <w:p w14:paraId="55A481A2" w14:textId="77777777" w:rsidR="00A763C5" w:rsidRPr="006209E3" w:rsidRDefault="00A763C5" w:rsidP="006209E3">
      <w:pPr>
        <w:spacing w:after="0"/>
        <w:rPr>
          <w:rFonts w:ascii="Arial" w:hAnsi="Arial" w:cs="Arial"/>
          <w:sz w:val="16"/>
          <w:szCs w:val="16"/>
        </w:rPr>
      </w:pPr>
      <w:r w:rsidRPr="006209E3">
        <w:rPr>
          <w:rFonts w:ascii="Arial" w:hAnsi="Arial" w:cs="Arial"/>
          <w:sz w:val="16"/>
          <w:szCs w:val="16"/>
        </w:rPr>
        <w:t>The decision to “Take No Action” was driven by</w:t>
      </w:r>
    </w:p>
    <w:p w14:paraId="6C5FFB95" w14:textId="572C40A3" w:rsidR="00A763C5" w:rsidRPr="006209E3" w:rsidRDefault="00A763C5" w:rsidP="006209E3">
      <w:pPr>
        <w:pStyle w:val="ListParagraph"/>
        <w:numPr>
          <w:ilvl w:val="0"/>
          <w:numId w:val="19"/>
        </w:numPr>
        <w:spacing w:after="0"/>
        <w:ind w:left="720" w:hanging="436"/>
        <w:rPr>
          <w:rFonts w:ascii="Arial" w:hAnsi="Arial" w:cs="Arial"/>
          <w:sz w:val="16"/>
          <w:szCs w:val="16"/>
        </w:rPr>
      </w:pPr>
      <w:proofErr w:type="spellStart"/>
      <w:r w:rsidRPr="006209E3">
        <w:rPr>
          <w:rFonts w:ascii="Arial" w:hAnsi="Arial" w:cs="Arial"/>
          <w:sz w:val="16"/>
          <w:szCs w:val="16"/>
        </w:rPr>
        <w:t>Shareblocking</w:t>
      </w:r>
      <w:proofErr w:type="spellEnd"/>
      <w:r w:rsidRPr="006209E3">
        <w:rPr>
          <w:rFonts w:ascii="Arial" w:hAnsi="Arial" w:cs="Arial"/>
          <w:sz w:val="16"/>
          <w:szCs w:val="16"/>
        </w:rPr>
        <w:t xml:space="preserve"> markets: As per Russell</w:t>
      </w:r>
      <w:r w:rsidR="0022164C" w:rsidRPr="006209E3">
        <w:rPr>
          <w:rFonts w:ascii="Arial" w:hAnsi="Arial" w:cs="Arial"/>
          <w:sz w:val="16"/>
          <w:szCs w:val="16"/>
        </w:rPr>
        <w:t xml:space="preserve"> Investments</w:t>
      </w:r>
      <w:r w:rsidRPr="006209E3">
        <w:rPr>
          <w:rFonts w:ascii="Arial" w:hAnsi="Arial" w:cs="Arial"/>
          <w:sz w:val="16"/>
          <w:szCs w:val="16"/>
        </w:rPr>
        <w:t xml:space="preserve">’ standing instructions, if a meeting belongs to </w:t>
      </w:r>
      <w:r w:rsidR="0022164C" w:rsidRPr="006209E3">
        <w:rPr>
          <w:rFonts w:ascii="Arial" w:hAnsi="Arial" w:cs="Arial"/>
          <w:sz w:val="16"/>
          <w:szCs w:val="16"/>
        </w:rPr>
        <w:t xml:space="preserve">a </w:t>
      </w:r>
      <w:proofErr w:type="spellStart"/>
      <w:r w:rsidRPr="006209E3">
        <w:rPr>
          <w:rFonts w:ascii="Arial" w:hAnsi="Arial" w:cs="Arial"/>
          <w:sz w:val="16"/>
          <w:szCs w:val="16"/>
        </w:rPr>
        <w:t>Shareblocking</w:t>
      </w:r>
      <w:proofErr w:type="spellEnd"/>
      <w:r w:rsidRPr="006209E3">
        <w:rPr>
          <w:rFonts w:ascii="Arial" w:hAnsi="Arial" w:cs="Arial"/>
          <w:sz w:val="16"/>
          <w:szCs w:val="16"/>
        </w:rPr>
        <w:t xml:space="preserve"> market such as Switzerland, then the ballots are automatically set to Take No Action.</w:t>
      </w:r>
    </w:p>
    <w:p w14:paraId="647B66DE" w14:textId="77777777" w:rsidR="00A763C5" w:rsidRPr="006209E3" w:rsidRDefault="00A763C5" w:rsidP="006209E3">
      <w:pPr>
        <w:pStyle w:val="ListParagraph"/>
        <w:numPr>
          <w:ilvl w:val="0"/>
          <w:numId w:val="19"/>
        </w:numPr>
        <w:spacing w:after="0"/>
        <w:ind w:left="720" w:hanging="436"/>
        <w:rPr>
          <w:rFonts w:ascii="Arial" w:hAnsi="Arial" w:cs="Arial"/>
          <w:sz w:val="16"/>
          <w:szCs w:val="16"/>
        </w:rPr>
      </w:pPr>
      <w:r w:rsidRPr="006209E3">
        <w:rPr>
          <w:rFonts w:ascii="Arial" w:hAnsi="Arial" w:cs="Arial"/>
          <w:sz w:val="16"/>
          <w:szCs w:val="16"/>
        </w:rPr>
        <w:t xml:space="preserve">This rule is applicable at the meeting and the ballot level as well. Sometimes if a meeting or a ballot is share-blocked then either the entire meeting or a ballot gets auto-TNA. You will mostly find the </w:t>
      </w:r>
      <w:proofErr w:type="spellStart"/>
      <w:r w:rsidRPr="006209E3">
        <w:rPr>
          <w:rFonts w:ascii="Arial" w:hAnsi="Arial" w:cs="Arial"/>
          <w:sz w:val="16"/>
          <w:szCs w:val="16"/>
        </w:rPr>
        <w:t>shareblocking</w:t>
      </w:r>
      <w:proofErr w:type="spellEnd"/>
      <w:r w:rsidRPr="006209E3">
        <w:rPr>
          <w:rFonts w:ascii="Arial" w:hAnsi="Arial" w:cs="Arial"/>
          <w:sz w:val="16"/>
          <w:szCs w:val="16"/>
        </w:rPr>
        <w:t xml:space="preserve"> meetings or ballots for Norway, Denmark markets. </w:t>
      </w:r>
    </w:p>
    <w:p w14:paraId="1C901FCF" w14:textId="733A20F3" w:rsidR="00A763C5" w:rsidRPr="006209E3" w:rsidRDefault="00A763C5" w:rsidP="006209E3">
      <w:pPr>
        <w:pStyle w:val="ListParagraph"/>
        <w:numPr>
          <w:ilvl w:val="0"/>
          <w:numId w:val="19"/>
        </w:numPr>
        <w:spacing w:after="0"/>
        <w:ind w:left="720" w:hanging="436"/>
        <w:rPr>
          <w:rFonts w:ascii="Arial" w:hAnsi="Arial" w:cs="Arial"/>
          <w:sz w:val="16"/>
          <w:szCs w:val="16"/>
        </w:rPr>
      </w:pPr>
      <w:r w:rsidRPr="006209E3">
        <w:rPr>
          <w:rFonts w:ascii="Arial" w:hAnsi="Arial" w:cs="Arial"/>
          <w:sz w:val="16"/>
          <w:szCs w:val="16"/>
        </w:rPr>
        <w:t xml:space="preserve">And lastly, for the Contested meetings, one of the two cards </w:t>
      </w:r>
      <w:proofErr w:type="gramStart"/>
      <w:r w:rsidRPr="006209E3">
        <w:rPr>
          <w:rFonts w:ascii="Arial" w:hAnsi="Arial" w:cs="Arial"/>
          <w:sz w:val="16"/>
          <w:szCs w:val="16"/>
        </w:rPr>
        <w:t>is</w:t>
      </w:r>
      <w:proofErr w:type="gramEnd"/>
      <w:r w:rsidRPr="006209E3">
        <w:rPr>
          <w:rFonts w:ascii="Arial" w:hAnsi="Arial" w:cs="Arial"/>
          <w:sz w:val="16"/>
          <w:szCs w:val="16"/>
        </w:rPr>
        <w:t xml:space="preserve"> set to </w:t>
      </w:r>
      <w:r w:rsidR="008A40DB" w:rsidRPr="006209E3">
        <w:rPr>
          <w:rFonts w:ascii="Arial" w:hAnsi="Arial" w:cs="Arial"/>
          <w:sz w:val="16"/>
          <w:szCs w:val="16"/>
        </w:rPr>
        <w:t xml:space="preserve">“Take No Action” </w:t>
      </w:r>
      <w:r w:rsidRPr="006209E3">
        <w:rPr>
          <w:rFonts w:ascii="Arial" w:hAnsi="Arial" w:cs="Arial"/>
          <w:sz w:val="16"/>
          <w:szCs w:val="16"/>
        </w:rPr>
        <w:t xml:space="preserve">(the card which is not voted). </w:t>
      </w:r>
    </w:p>
    <w:p w14:paraId="545E5E9F" w14:textId="3F61036E" w:rsidR="001E756A" w:rsidRPr="00E61527" w:rsidRDefault="00E61527" w:rsidP="00E61527">
      <w:pPr>
        <w:pStyle w:val="Heading2"/>
        <w:rPr>
          <w:color w:val="DD6600" w:themeColor="accent4"/>
          <w:lang w:val="en-GB"/>
        </w:rPr>
      </w:pPr>
      <w:r w:rsidRPr="00E61527">
        <w:rPr>
          <w:color w:val="DD6600" w:themeColor="accent4"/>
          <w:lang w:val="en-GB"/>
        </w:rPr>
        <w:t>Most significant votes</w:t>
      </w:r>
    </w:p>
    <w:p w14:paraId="4360DCD1" w14:textId="77777777" w:rsidR="00E61527" w:rsidRPr="00E61527" w:rsidRDefault="00E61527" w:rsidP="00E61527">
      <w:pPr>
        <w:pStyle w:val="Heading3"/>
        <w:rPr>
          <w:color w:val="66AADD" w:themeColor="accent1"/>
          <w:lang w:val="en-GB"/>
        </w:rPr>
      </w:pPr>
      <w:r w:rsidRPr="00E61527">
        <w:rPr>
          <w:color w:val="66AADD" w:themeColor="accent1"/>
          <w:lang w:val="en-GB"/>
        </w:rPr>
        <w:t>Criteria adopted</w:t>
      </w:r>
    </w:p>
    <w:p w14:paraId="76041CB5" w14:textId="77777777" w:rsidR="00E61527" w:rsidRDefault="00E61527" w:rsidP="00E61527">
      <w:pPr>
        <w:rPr>
          <w:lang w:val="en-GB"/>
        </w:rPr>
      </w:pPr>
      <w:r>
        <w:rPr>
          <w:lang w:val="en-GB"/>
        </w:rPr>
        <w:t>To ensure we reflect a wide variety of votes place, we have split the votes into environmental, social and corporate governance issues. We have defined the most significant votes in each category by filtering for</w:t>
      </w:r>
    </w:p>
    <w:p w14:paraId="0C492CF7" w14:textId="0AF34698" w:rsidR="00B35306" w:rsidRDefault="00B35306" w:rsidP="00767B57">
      <w:pPr>
        <w:pStyle w:val="ListParagraph"/>
        <w:numPr>
          <w:ilvl w:val="0"/>
          <w:numId w:val="18"/>
        </w:numPr>
        <w:rPr>
          <w:lang w:val="en-GB"/>
        </w:rPr>
      </w:pPr>
      <w:r w:rsidRPr="00B35306">
        <w:rPr>
          <w:lang w:val="en-GB"/>
        </w:rPr>
        <w:t>Contentious outcome votes</w:t>
      </w:r>
      <w:r w:rsidR="006209E3">
        <w:rPr>
          <w:lang w:val="en-GB"/>
        </w:rPr>
        <w:t xml:space="preserve"> with voting split relatively evenly. We define contentious vote of having a</w:t>
      </w:r>
      <w:r w:rsidRPr="00B35306">
        <w:rPr>
          <w:lang w:val="en-GB"/>
        </w:rPr>
        <w:t xml:space="preserve"> (~65/35) AND</w:t>
      </w:r>
    </w:p>
    <w:p w14:paraId="4A7ED3C4" w14:textId="77777777" w:rsidR="00B35306" w:rsidRDefault="00B35306" w:rsidP="00882560">
      <w:pPr>
        <w:pStyle w:val="ListParagraph"/>
        <w:numPr>
          <w:ilvl w:val="0"/>
          <w:numId w:val="18"/>
        </w:numPr>
        <w:rPr>
          <w:lang w:val="en-GB"/>
        </w:rPr>
      </w:pPr>
      <w:r w:rsidRPr="00B35306">
        <w:rPr>
          <w:lang w:val="en-GB"/>
        </w:rPr>
        <w:t>Issue Category (Environmental, Social, Governance) AND/OR</w:t>
      </w:r>
    </w:p>
    <w:p w14:paraId="48B79455" w14:textId="180F0D68" w:rsidR="00B35306" w:rsidRDefault="00B35306" w:rsidP="00882560">
      <w:pPr>
        <w:pStyle w:val="ListParagraph"/>
        <w:numPr>
          <w:ilvl w:val="0"/>
          <w:numId w:val="18"/>
        </w:numPr>
        <w:rPr>
          <w:lang w:val="en-GB"/>
        </w:rPr>
      </w:pPr>
      <w:r w:rsidRPr="00B35306">
        <w:rPr>
          <w:lang w:val="en-GB"/>
        </w:rPr>
        <w:t xml:space="preserve">Weighted holdings (typically &gt;1% of </w:t>
      </w:r>
      <w:r w:rsidR="006209E3">
        <w:rPr>
          <w:lang w:val="en-GB"/>
        </w:rPr>
        <w:t>Growth portfolio</w:t>
      </w:r>
      <w:r w:rsidRPr="00B35306">
        <w:rPr>
          <w:lang w:val="en-GB"/>
        </w:rPr>
        <w:t>)</w:t>
      </w:r>
    </w:p>
    <w:p w14:paraId="0F331813" w14:textId="512CB805" w:rsidR="00E61527" w:rsidRPr="00B35306" w:rsidRDefault="00E61527" w:rsidP="00B35306">
      <w:pPr>
        <w:rPr>
          <w:lang w:val="en-GB"/>
        </w:rPr>
      </w:pPr>
      <w:r w:rsidRPr="00B35306">
        <w:rPr>
          <w:lang w:val="en-GB"/>
        </w:rPr>
        <w:t>From this subset we have sorted for the largest weight in the portfolio to get the most significant votes for environmental, social and governance issues.</w:t>
      </w:r>
    </w:p>
    <w:p w14:paraId="4D289CE0" w14:textId="77777777" w:rsidR="001B3524" w:rsidRPr="00E61527" w:rsidRDefault="00E61527" w:rsidP="00E61527">
      <w:pPr>
        <w:pStyle w:val="Heading3"/>
        <w:rPr>
          <w:color w:val="66AADD" w:themeColor="accent1"/>
        </w:rPr>
      </w:pPr>
      <w:r w:rsidRPr="00E61527">
        <w:rPr>
          <w:color w:val="66AADD" w:themeColor="accent1"/>
        </w:rPr>
        <w:t>Environmental Votes</w:t>
      </w:r>
    </w:p>
    <w:tbl>
      <w:tblPr>
        <w:tblStyle w:val="TableGrid"/>
        <w:tblW w:w="10173"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7655"/>
      </w:tblGrid>
      <w:tr w:rsidR="001B3524" w:rsidRPr="001B3524" w14:paraId="56468398" w14:textId="77777777" w:rsidTr="00B24459">
        <w:trPr>
          <w:trHeight w:val="300"/>
        </w:trPr>
        <w:tc>
          <w:tcPr>
            <w:tcW w:w="10173" w:type="dxa"/>
            <w:gridSpan w:val="2"/>
            <w:noWrap/>
            <w:hideMark/>
          </w:tcPr>
          <w:p w14:paraId="2A172DD8" w14:textId="0ACE6E34" w:rsidR="001B3524" w:rsidRPr="001B3524" w:rsidRDefault="00514E89">
            <w:pPr>
              <w:rPr>
                <w:b/>
                <w:bCs/>
              </w:rPr>
            </w:pPr>
            <w:r w:rsidRPr="00514E89">
              <w:rPr>
                <w:b/>
                <w:bCs/>
              </w:rPr>
              <w:t>Duke Energy Corp.</w:t>
            </w:r>
          </w:p>
        </w:tc>
      </w:tr>
      <w:tr w:rsidR="001B3524" w:rsidRPr="001B3524" w14:paraId="4D1F44E9" w14:textId="77777777" w:rsidTr="00B24459">
        <w:trPr>
          <w:trHeight w:val="300"/>
        </w:trPr>
        <w:tc>
          <w:tcPr>
            <w:tcW w:w="10173" w:type="dxa"/>
            <w:gridSpan w:val="2"/>
            <w:noWrap/>
            <w:hideMark/>
          </w:tcPr>
          <w:p w14:paraId="6A334D09" w14:textId="11C58F2C" w:rsidR="001B3524" w:rsidRPr="001B3524" w:rsidRDefault="00514E89">
            <w:pPr>
              <w:rPr>
                <w:i/>
                <w:iCs/>
              </w:rPr>
            </w:pPr>
            <w:r w:rsidRPr="00514E89">
              <w:rPr>
                <w:i/>
                <w:iCs/>
              </w:rPr>
              <w:t>Shareholder Report Regarding Health Effects of Coal</w:t>
            </w:r>
          </w:p>
        </w:tc>
      </w:tr>
      <w:tr w:rsidR="001B3524" w:rsidRPr="001B3524" w14:paraId="545BF3FF" w14:textId="77777777" w:rsidTr="00B24459">
        <w:trPr>
          <w:trHeight w:val="300"/>
        </w:trPr>
        <w:tc>
          <w:tcPr>
            <w:tcW w:w="2518" w:type="dxa"/>
            <w:noWrap/>
            <w:hideMark/>
          </w:tcPr>
          <w:p w14:paraId="64FD0CC5" w14:textId="77777777" w:rsidR="001B3524" w:rsidRPr="001B3524" w:rsidRDefault="001B3524">
            <w:r w:rsidRPr="001B3524">
              <w:t>Mgmt. Rec.</w:t>
            </w:r>
          </w:p>
        </w:tc>
        <w:tc>
          <w:tcPr>
            <w:tcW w:w="7655" w:type="dxa"/>
            <w:noWrap/>
            <w:hideMark/>
          </w:tcPr>
          <w:p w14:paraId="5ADFBCD4" w14:textId="77777777" w:rsidR="001B3524" w:rsidRPr="001B3524" w:rsidRDefault="001B3524">
            <w:r w:rsidRPr="001B3524">
              <w:t>Against</w:t>
            </w:r>
          </w:p>
        </w:tc>
      </w:tr>
      <w:tr w:rsidR="001B3524" w:rsidRPr="001B3524" w14:paraId="3453229E" w14:textId="77777777" w:rsidTr="00B24459">
        <w:trPr>
          <w:trHeight w:val="300"/>
        </w:trPr>
        <w:tc>
          <w:tcPr>
            <w:tcW w:w="2518" w:type="dxa"/>
            <w:noWrap/>
            <w:hideMark/>
          </w:tcPr>
          <w:p w14:paraId="66AC5573" w14:textId="1481FD77" w:rsidR="001B3524" w:rsidRPr="001B3524" w:rsidRDefault="006209E3">
            <w:r>
              <w:t>How the vote was cast</w:t>
            </w:r>
          </w:p>
        </w:tc>
        <w:tc>
          <w:tcPr>
            <w:tcW w:w="7655" w:type="dxa"/>
            <w:noWrap/>
            <w:hideMark/>
          </w:tcPr>
          <w:p w14:paraId="7C57187B" w14:textId="77777777" w:rsidR="001B3524" w:rsidRPr="001B3524" w:rsidRDefault="001B3524">
            <w:r w:rsidRPr="001B3524">
              <w:t>Against</w:t>
            </w:r>
          </w:p>
        </w:tc>
      </w:tr>
      <w:tr w:rsidR="00514E89" w:rsidRPr="001B3524" w14:paraId="04F1052F" w14:textId="77777777" w:rsidTr="00B24459">
        <w:trPr>
          <w:trHeight w:val="300"/>
        </w:trPr>
        <w:tc>
          <w:tcPr>
            <w:tcW w:w="2518" w:type="dxa"/>
            <w:noWrap/>
          </w:tcPr>
          <w:p w14:paraId="505745FD" w14:textId="07E1DB3A" w:rsidR="00514E89" w:rsidRPr="001B3524" w:rsidRDefault="00514E89">
            <w:r>
              <w:t>Vote Outcome</w:t>
            </w:r>
          </w:p>
        </w:tc>
        <w:tc>
          <w:tcPr>
            <w:tcW w:w="7655" w:type="dxa"/>
            <w:noWrap/>
          </w:tcPr>
          <w:p w14:paraId="3F24E1A3" w14:textId="1E3168CA" w:rsidR="00514E89" w:rsidRPr="001B3524" w:rsidRDefault="00514E89">
            <w:r>
              <w:t>Voted Down</w:t>
            </w:r>
          </w:p>
        </w:tc>
      </w:tr>
      <w:tr w:rsidR="001B3524" w:rsidRPr="001B3524" w14:paraId="3388D814" w14:textId="77777777" w:rsidTr="00B24459">
        <w:trPr>
          <w:trHeight w:val="300"/>
        </w:trPr>
        <w:tc>
          <w:tcPr>
            <w:tcW w:w="10173" w:type="dxa"/>
            <w:gridSpan w:val="2"/>
            <w:noWrap/>
            <w:hideMark/>
          </w:tcPr>
          <w:p w14:paraId="7463CBA8" w14:textId="77777777" w:rsidR="001B3524" w:rsidRPr="001B3524" w:rsidRDefault="001B3524">
            <w:pPr>
              <w:rPr>
                <w:b/>
                <w:bCs/>
              </w:rPr>
            </w:pPr>
            <w:r w:rsidRPr="001B3524">
              <w:rPr>
                <w:b/>
                <w:bCs/>
              </w:rPr>
              <w:t>Rationale</w:t>
            </w:r>
          </w:p>
        </w:tc>
      </w:tr>
      <w:tr w:rsidR="001B3524" w:rsidRPr="001B3524" w14:paraId="6F8ACF22" w14:textId="77777777" w:rsidTr="00B24459">
        <w:trPr>
          <w:trHeight w:val="300"/>
        </w:trPr>
        <w:tc>
          <w:tcPr>
            <w:tcW w:w="10173" w:type="dxa"/>
            <w:gridSpan w:val="2"/>
            <w:noWrap/>
            <w:hideMark/>
          </w:tcPr>
          <w:p w14:paraId="23D64E69" w14:textId="45C659C3" w:rsidR="001B3524" w:rsidRPr="001B3524" w:rsidRDefault="00514E89">
            <w:r w:rsidRPr="00514E89">
              <w:t>We recognize that issues related to the Company's environmental impact, including those related to its coal ash management, are material and could have significant financial ramifications for the Company, however, we are concerned with the broad request of this proposal. We are not convinced that the reporting requested in this resolution would be an especially productive use of Company resources. Further, we are not convinced that a long-term financial analysis of the cost of public health harms to the Company would be feasible, and if it was feasible, especially accurate.</w:t>
            </w:r>
          </w:p>
        </w:tc>
      </w:tr>
    </w:tbl>
    <w:p w14:paraId="4BECC6A7" w14:textId="77777777" w:rsidR="00025D00" w:rsidRDefault="00025D00">
      <w:pPr>
        <w:rPr>
          <w:color w:val="66AADD" w:themeColor="accent1"/>
        </w:rPr>
      </w:pPr>
    </w:p>
    <w:tbl>
      <w:tblPr>
        <w:tblStyle w:val="TableGrid"/>
        <w:tblW w:w="10173"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7655"/>
      </w:tblGrid>
      <w:tr w:rsidR="00025D00" w:rsidRPr="001B3524" w14:paraId="3B2CCEED" w14:textId="77777777" w:rsidTr="00A12B89">
        <w:trPr>
          <w:trHeight w:val="300"/>
        </w:trPr>
        <w:tc>
          <w:tcPr>
            <w:tcW w:w="10173" w:type="dxa"/>
            <w:gridSpan w:val="2"/>
            <w:noWrap/>
            <w:hideMark/>
          </w:tcPr>
          <w:p w14:paraId="558DC78A" w14:textId="5902C0B6" w:rsidR="00025D00" w:rsidRPr="001B3524" w:rsidRDefault="00025D00" w:rsidP="00A12B89">
            <w:pPr>
              <w:rPr>
                <w:b/>
                <w:bCs/>
              </w:rPr>
            </w:pPr>
            <w:r w:rsidRPr="00025D00">
              <w:rPr>
                <w:b/>
                <w:bCs/>
              </w:rPr>
              <w:t>Ross Stores, Inc.</w:t>
            </w:r>
          </w:p>
        </w:tc>
      </w:tr>
      <w:tr w:rsidR="00025D00" w:rsidRPr="001B3524" w14:paraId="65B4B148" w14:textId="77777777" w:rsidTr="00A12B89">
        <w:trPr>
          <w:trHeight w:val="300"/>
        </w:trPr>
        <w:tc>
          <w:tcPr>
            <w:tcW w:w="10173" w:type="dxa"/>
            <w:gridSpan w:val="2"/>
            <w:noWrap/>
            <w:hideMark/>
          </w:tcPr>
          <w:p w14:paraId="410B331D" w14:textId="27EFBB63" w:rsidR="00025D00" w:rsidRPr="001B3524" w:rsidRDefault="00025D00" w:rsidP="00A12B89">
            <w:pPr>
              <w:rPr>
                <w:i/>
                <w:iCs/>
              </w:rPr>
            </w:pPr>
            <w:r w:rsidRPr="00025D00">
              <w:rPr>
                <w:i/>
                <w:iCs/>
              </w:rPr>
              <w:t>Shareholder Proposal Regarding Climate Change Report</w:t>
            </w:r>
          </w:p>
        </w:tc>
      </w:tr>
      <w:tr w:rsidR="00025D00" w:rsidRPr="001B3524" w14:paraId="69760493" w14:textId="77777777" w:rsidTr="00A12B89">
        <w:trPr>
          <w:trHeight w:val="300"/>
        </w:trPr>
        <w:tc>
          <w:tcPr>
            <w:tcW w:w="2518" w:type="dxa"/>
            <w:noWrap/>
            <w:hideMark/>
          </w:tcPr>
          <w:p w14:paraId="6001F783" w14:textId="77777777" w:rsidR="00025D00" w:rsidRPr="001B3524" w:rsidRDefault="00025D00" w:rsidP="00A12B89">
            <w:r w:rsidRPr="001B3524">
              <w:t>Mgmt. Rec.</w:t>
            </w:r>
          </w:p>
        </w:tc>
        <w:tc>
          <w:tcPr>
            <w:tcW w:w="7655" w:type="dxa"/>
            <w:noWrap/>
            <w:hideMark/>
          </w:tcPr>
          <w:p w14:paraId="46814D0F" w14:textId="77777777" w:rsidR="00025D00" w:rsidRPr="001B3524" w:rsidRDefault="00025D00" w:rsidP="00A12B89">
            <w:r w:rsidRPr="001B3524">
              <w:t>Against</w:t>
            </w:r>
          </w:p>
        </w:tc>
      </w:tr>
      <w:tr w:rsidR="00025D00" w:rsidRPr="001B3524" w14:paraId="53361217" w14:textId="77777777" w:rsidTr="00A12B89">
        <w:trPr>
          <w:trHeight w:val="300"/>
        </w:trPr>
        <w:tc>
          <w:tcPr>
            <w:tcW w:w="2518" w:type="dxa"/>
            <w:noWrap/>
            <w:hideMark/>
          </w:tcPr>
          <w:p w14:paraId="6F9A6A38" w14:textId="77777777" w:rsidR="00025D00" w:rsidRPr="001B3524" w:rsidRDefault="00025D00" w:rsidP="00A12B89">
            <w:r>
              <w:t>How the vote was cast</w:t>
            </w:r>
          </w:p>
        </w:tc>
        <w:tc>
          <w:tcPr>
            <w:tcW w:w="7655" w:type="dxa"/>
            <w:noWrap/>
            <w:hideMark/>
          </w:tcPr>
          <w:p w14:paraId="11E9D8FD" w14:textId="77777777" w:rsidR="00025D00" w:rsidRPr="001B3524" w:rsidRDefault="00025D00" w:rsidP="00A12B89">
            <w:r w:rsidRPr="001B3524">
              <w:t>Against</w:t>
            </w:r>
          </w:p>
        </w:tc>
      </w:tr>
      <w:tr w:rsidR="00025D00" w:rsidRPr="001B3524" w14:paraId="6A6C359C" w14:textId="77777777" w:rsidTr="00A12B89">
        <w:trPr>
          <w:trHeight w:val="300"/>
        </w:trPr>
        <w:tc>
          <w:tcPr>
            <w:tcW w:w="2518" w:type="dxa"/>
            <w:noWrap/>
          </w:tcPr>
          <w:p w14:paraId="5C60CE53" w14:textId="77777777" w:rsidR="00025D00" w:rsidRPr="001B3524" w:rsidRDefault="00025D00" w:rsidP="00A12B89">
            <w:r>
              <w:t>Vote Outcome</w:t>
            </w:r>
          </w:p>
        </w:tc>
        <w:tc>
          <w:tcPr>
            <w:tcW w:w="7655" w:type="dxa"/>
            <w:noWrap/>
          </w:tcPr>
          <w:p w14:paraId="08D83B6B" w14:textId="77777777" w:rsidR="00025D00" w:rsidRPr="001B3524" w:rsidRDefault="00025D00" w:rsidP="00A12B89">
            <w:r>
              <w:t>Voted Down</w:t>
            </w:r>
          </w:p>
        </w:tc>
      </w:tr>
      <w:tr w:rsidR="00025D00" w:rsidRPr="001B3524" w14:paraId="58D8F5C6" w14:textId="77777777" w:rsidTr="00A12B89">
        <w:trPr>
          <w:trHeight w:val="300"/>
        </w:trPr>
        <w:tc>
          <w:tcPr>
            <w:tcW w:w="10173" w:type="dxa"/>
            <w:gridSpan w:val="2"/>
            <w:noWrap/>
            <w:hideMark/>
          </w:tcPr>
          <w:p w14:paraId="54519549" w14:textId="77777777" w:rsidR="00025D00" w:rsidRPr="001B3524" w:rsidRDefault="00025D00" w:rsidP="00A12B89">
            <w:pPr>
              <w:rPr>
                <w:b/>
                <w:bCs/>
              </w:rPr>
            </w:pPr>
            <w:r w:rsidRPr="001B3524">
              <w:rPr>
                <w:b/>
                <w:bCs/>
              </w:rPr>
              <w:t>Rationale</w:t>
            </w:r>
          </w:p>
        </w:tc>
      </w:tr>
      <w:tr w:rsidR="00025D00" w:rsidRPr="001B3524" w14:paraId="03C7C2EA" w14:textId="77777777" w:rsidTr="00A12B89">
        <w:trPr>
          <w:trHeight w:val="300"/>
        </w:trPr>
        <w:tc>
          <w:tcPr>
            <w:tcW w:w="10173" w:type="dxa"/>
            <w:gridSpan w:val="2"/>
            <w:noWrap/>
            <w:hideMark/>
          </w:tcPr>
          <w:p w14:paraId="1659881F" w14:textId="5448092C" w:rsidR="00025D00" w:rsidRPr="001B3524" w:rsidRDefault="00025D00" w:rsidP="00A12B89">
            <w:r w:rsidRPr="00025D00">
              <w:t>Although all companies have some risk exposure to issues related to climate change, we believe that the Company's own GHG emissions do not appear to be an issue of material importance to the Company, as confirmed by SASB. Accordingly, we do not believe that time and expense that would be associated with adoption of this proposal would necessarily benefit shareholders at this time.</w:t>
            </w:r>
          </w:p>
        </w:tc>
      </w:tr>
    </w:tbl>
    <w:p w14:paraId="7A007079" w14:textId="77777777" w:rsidR="00025D00" w:rsidRDefault="00025D00">
      <w:pPr>
        <w:rPr>
          <w:color w:val="66AADD" w:themeColor="accent1"/>
        </w:rPr>
      </w:pPr>
    </w:p>
    <w:tbl>
      <w:tblPr>
        <w:tblStyle w:val="TableGrid"/>
        <w:tblW w:w="10173"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7655"/>
      </w:tblGrid>
      <w:tr w:rsidR="00025D00" w:rsidRPr="001B3524" w14:paraId="431FAD80" w14:textId="77777777" w:rsidTr="00A12B89">
        <w:trPr>
          <w:trHeight w:val="300"/>
        </w:trPr>
        <w:tc>
          <w:tcPr>
            <w:tcW w:w="10173" w:type="dxa"/>
            <w:gridSpan w:val="2"/>
            <w:noWrap/>
            <w:hideMark/>
          </w:tcPr>
          <w:p w14:paraId="7DE7DD3F" w14:textId="0EE28C5F" w:rsidR="00025D00" w:rsidRPr="001B3524" w:rsidRDefault="00025D00" w:rsidP="00A12B89">
            <w:pPr>
              <w:rPr>
                <w:b/>
                <w:bCs/>
              </w:rPr>
            </w:pPr>
            <w:r w:rsidRPr="00025D00">
              <w:rPr>
                <w:b/>
                <w:bCs/>
              </w:rPr>
              <w:t>Fluor Corporation</w:t>
            </w:r>
          </w:p>
        </w:tc>
      </w:tr>
      <w:tr w:rsidR="00025D00" w:rsidRPr="001B3524" w14:paraId="6217062C" w14:textId="77777777" w:rsidTr="00A12B89">
        <w:trPr>
          <w:trHeight w:val="300"/>
        </w:trPr>
        <w:tc>
          <w:tcPr>
            <w:tcW w:w="10173" w:type="dxa"/>
            <w:gridSpan w:val="2"/>
            <w:noWrap/>
            <w:hideMark/>
          </w:tcPr>
          <w:p w14:paraId="314FEBD5" w14:textId="6CF1E1C0" w:rsidR="00025D00" w:rsidRPr="001B3524" w:rsidRDefault="00025D00" w:rsidP="00A12B89">
            <w:pPr>
              <w:rPr>
                <w:i/>
                <w:iCs/>
              </w:rPr>
            </w:pPr>
            <w:r w:rsidRPr="00025D00">
              <w:rPr>
                <w:i/>
                <w:iCs/>
              </w:rPr>
              <w:t>Shareholder Proposal Regarding Reducing Greenhouse Gas Emissions</w:t>
            </w:r>
          </w:p>
        </w:tc>
      </w:tr>
      <w:tr w:rsidR="00025D00" w:rsidRPr="001B3524" w14:paraId="248B0F63" w14:textId="77777777" w:rsidTr="00A12B89">
        <w:trPr>
          <w:trHeight w:val="300"/>
        </w:trPr>
        <w:tc>
          <w:tcPr>
            <w:tcW w:w="2518" w:type="dxa"/>
            <w:noWrap/>
            <w:hideMark/>
          </w:tcPr>
          <w:p w14:paraId="28549DE1" w14:textId="77777777" w:rsidR="00025D00" w:rsidRPr="001B3524" w:rsidRDefault="00025D00" w:rsidP="00A12B89">
            <w:r w:rsidRPr="001B3524">
              <w:t>Mgmt. Rec.</w:t>
            </w:r>
          </w:p>
        </w:tc>
        <w:tc>
          <w:tcPr>
            <w:tcW w:w="7655" w:type="dxa"/>
            <w:noWrap/>
            <w:hideMark/>
          </w:tcPr>
          <w:p w14:paraId="513976B0" w14:textId="77777777" w:rsidR="00025D00" w:rsidRPr="001B3524" w:rsidRDefault="00025D00" w:rsidP="00A12B89">
            <w:r w:rsidRPr="001B3524">
              <w:t>Against</w:t>
            </w:r>
          </w:p>
        </w:tc>
      </w:tr>
      <w:tr w:rsidR="00025D00" w:rsidRPr="001B3524" w14:paraId="331A13C7" w14:textId="77777777" w:rsidTr="00A12B89">
        <w:trPr>
          <w:trHeight w:val="300"/>
        </w:trPr>
        <w:tc>
          <w:tcPr>
            <w:tcW w:w="2518" w:type="dxa"/>
            <w:noWrap/>
            <w:hideMark/>
          </w:tcPr>
          <w:p w14:paraId="05DA0D74" w14:textId="77777777" w:rsidR="00025D00" w:rsidRPr="001B3524" w:rsidRDefault="00025D00" w:rsidP="00A12B89">
            <w:r>
              <w:t>How the vote was cast</w:t>
            </w:r>
          </w:p>
        </w:tc>
        <w:tc>
          <w:tcPr>
            <w:tcW w:w="7655" w:type="dxa"/>
            <w:noWrap/>
            <w:hideMark/>
          </w:tcPr>
          <w:p w14:paraId="1942CF5E" w14:textId="77777777" w:rsidR="00025D00" w:rsidRPr="001B3524" w:rsidRDefault="00025D00" w:rsidP="00A12B89">
            <w:r w:rsidRPr="001B3524">
              <w:t>Against</w:t>
            </w:r>
          </w:p>
        </w:tc>
      </w:tr>
      <w:tr w:rsidR="00025D00" w:rsidRPr="001B3524" w14:paraId="5608F961" w14:textId="77777777" w:rsidTr="00A12B89">
        <w:trPr>
          <w:trHeight w:val="300"/>
        </w:trPr>
        <w:tc>
          <w:tcPr>
            <w:tcW w:w="2518" w:type="dxa"/>
            <w:noWrap/>
          </w:tcPr>
          <w:p w14:paraId="0A758FD7" w14:textId="77777777" w:rsidR="00025D00" w:rsidRPr="001B3524" w:rsidRDefault="00025D00" w:rsidP="00A12B89">
            <w:r>
              <w:t>Vote Outcome</w:t>
            </w:r>
          </w:p>
        </w:tc>
        <w:tc>
          <w:tcPr>
            <w:tcW w:w="7655" w:type="dxa"/>
            <w:noWrap/>
          </w:tcPr>
          <w:p w14:paraId="5B1BD6B6" w14:textId="77777777" w:rsidR="00025D00" w:rsidRPr="001B3524" w:rsidRDefault="00025D00" w:rsidP="00A12B89">
            <w:r>
              <w:t>Voted Down</w:t>
            </w:r>
          </w:p>
        </w:tc>
      </w:tr>
      <w:tr w:rsidR="00025D00" w:rsidRPr="001B3524" w14:paraId="7A1F1737" w14:textId="77777777" w:rsidTr="00A12B89">
        <w:trPr>
          <w:trHeight w:val="300"/>
        </w:trPr>
        <w:tc>
          <w:tcPr>
            <w:tcW w:w="10173" w:type="dxa"/>
            <w:gridSpan w:val="2"/>
            <w:noWrap/>
            <w:hideMark/>
          </w:tcPr>
          <w:p w14:paraId="3153E258" w14:textId="77777777" w:rsidR="00025D00" w:rsidRPr="001B3524" w:rsidRDefault="00025D00" w:rsidP="00A12B89">
            <w:pPr>
              <w:rPr>
                <w:b/>
                <w:bCs/>
              </w:rPr>
            </w:pPr>
            <w:r w:rsidRPr="001B3524">
              <w:rPr>
                <w:b/>
                <w:bCs/>
              </w:rPr>
              <w:t>Rationale</w:t>
            </w:r>
          </w:p>
        </w:tc>
      </w:tr>
      <w:tr w:rsidR="00025D00" w:rsidRPr="001B3524" w14:paraId="19F2FFEC" w14:textId="77777777" w:rsidTr="00A12B89">
        <w:trPr>
          <w:trHeight w:val="300"/>
        </w:trPr>
        <w:tc>
          <w:tcPr>
            <w:tcW w:w="10173" w:type="dxa"/>
            <w:gridSpan w:val="2"/>
            <w:noWrap/>
            <w:hideMark/>
          </w:tcPr>
          <w:p w14:paraId="15CAA39A" w14:textId="55304873" w:rsidR="00025D00" w:rsidRPr="001B3524" w:rsidRDefault="00025D00" w:rsidP="00A12B89">
            <w:r w:rsidRPr="00025D00">
              <w:t>We do not believe the proponent has provided clear evidence that the Company's exposure to risks associated with greenhouse gas emissions is significant or that it has neglected or acted egregiously with respect to such risks; and we believe that decisions to adopt new emissions reductions policies are best left to the board of directors which can be held accountable for these matters when facing re-election.</w:t>
            </w:r>
          </w:p>
        </w:tc>
      </w:tr>
    </w:tbl>
    <w:p w14:paraId="42BEEB82" w14:textId="385842F0" w:rsidR="006209E3" w:rsidRDefault="006209E3">
      <w:pPr>
        <w:rPr>
          <w:rFonts w:asciiTheme="majorHAnsi" w:hAnsiTheme="majorHAnsi" w:cs="Arial"/>
          <w:b/>
          <w:color w:val="66AADD" w:themeColor="accent1"/>
          <w:spacing w:val="-5"/>
          <w:szCs w:val="28"/>
        </w:rPr>
      </w:pPr>
    </w:p>
    <w:p w14:paraId="3347522E" w14:textId="1DE058E4" w:rsidR="00E61527" w:rsidRPr="00693F8F" w:rsidRDefault="00E61527" w:rsidP="00693F8F">
      <w:pPr>
        <w:pStyle w:val="Heading3"/>
        <w:rPr>
          <w:color w:val="66AADD" w:themeColor="accent1"/>
        </w:rPr>
      </w:pPr>
      <w:r w:rsidRPr="00E61527">
        <w:rPr>
          <w:color w:val="66AADD" w:themeColor="accent1"/>
        </w:rPr>
        <w:t>Social Vote</w:t>
      </w:r>
      <w:r w:rsidR="00693F8F">
        <w:rPr>
          <w:color w:val="66AADD" w:themeColor="accent1"/>
        </w:rPr>
        <w:t>s</w:t>
      </w:r>
    </w:p>
    <w:tbl>
      <w:tblPr>
        <w:tblStyle w:val="TableGrid"/>
        <w:tblW w:w="1017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18"/>
        <w:gridCol w:w="7655"/>
      </w:tblGrid>
      <w:tr w:rsidR="00E61527" w:rsidRPr="001B3524" w14:paraId="743CE6BC" w14:textId="77777777" w:rsidTr="00B24459">
        <w:trPr>
          <w:trHeight w:val="300"/>
        </w:trPr>
        <w:tc>
          <w:tcPr>
            <w:tcW w:w="10173" w:type="dxa"/>
            <w:gridSpan w:val="2"/>
            <w:tcBorders>
              <w:top w:val="single" w:sz="4" w:space="0" w:color="auto"/>
              <w:bottom w:val="single" w:sz="4" w:space="0" w:color="auto"/>
            </w:tcBorders>
            <w:noWrap/>
            <w:hideMark/>
          </w:tcPr>
          <w:p w14:paraId="52286F26" w14:textId="34221C79" w:rsidR="00E61527" w:rsidRPr="001B3524" w:rsidRDefault="00514E89" w:rsidP="001146C3">
            <w:pPr>
              <w:rPr>
                <w:b/>
                <w:bCs/>
              </w:rPr>
            </w:pPr>
            <w:r w:rsidRPr="00514E89">
              <w:rPr>
                <w:b/>
                <w:bCs/>
              </w:rPr>
              <w:t>Apple Inc</w:t>
            </w:r>
          </w:p>
        </w:tc>
      </w:tr>
      <w:tr w:rsidR="00E61527" w:rsidRPr="001B3524" w14:paraId="65CED9C4" w14:textId="77777777" w:rsidTr="00B24459">
        <w:trPr>
          <w:trHeight w:val="300"/>
        </w:trPr>
        <w:tc>
          <w:tcPr>
            <w:tcW w:w="10173" w:type="dxa"/>
            <w:gridSpan w:val="2"/>
            <w:tcBorders>
              <w:top w:val="single" w:sz="4" w:space="0" w:color="auto"/>
              <w:bottom w:val="single" w:sz="4" w:space="0" w:color="auto"/>
            </w:tcBorders>
            <w:noWrap/>
            <w:hideMark/>
          </w:tcPr>
          <w:p w14:paraId="5F6CA3A5" w14:textId="233183AF" w:rsidR="00E61527" w:rsidRPr="001B3524" w:rsidRDefault="00514E89" w:rsidP="001146C3">
            <w:pPr>
              <w:rPr>
                <w:i/>
                <w:iCs/>
              </w:rPr>
            </w:pPr>
            <w:r w:rsidRPr="00514E89">
              <w:rPr>
                <w:i/>
                <w:iCs/>
              </w:rPr>
              <w:t>Shareholder Proposal Regarding Freedom of Expression and Access to Information</w:t>
            </w:r>
          </w:p>
        </w:tc>
      </w:tr>
      <w:tr w:rsidR="00E61527" w:rsidRPr="001B3524" w14:paraId="03E8548B" w14:textId="77777777" w:rsidTr="00B24459">
        <w:trPr>
          <w:trHeight w:val="300"/>
        </w:trPr>
        <w:tc>
          <w:tcPr>
            <w:tcW w:w="2518" w:type="dxa"/>
            <w:tcBorders>
              <w:top w:val="single" w:sz="4" w:space="0" w:color="auto"/>
              <w:bottom w:val="single" w:sz="4" w:space="0" w:color="auto"/>
            </w:tcBorders>
            <w:noWrap/>
            <w:hideMark/>
          </w:tcPr>
          <w:p w14:paraId="1C6695C8" w14:textId="77777777" w:rsidR="00E61527" w:rsidRPr="001B3524" w:rsidRDefault="00E61527" w:rsidP="001146C3">
            <w:r w:rsidRPr="001B3524">
              <w:t>Mgmt. Rec.</w:t>
            </w:r>
          </w:p>
        </w:tc>
        <w:tc>
          <w:tcPr>
            <w:tcW w:w="7655" w:type="dxa"/>
            <w:tcBorders>
              <w:top w:val="single" w:sz="4" w:space="0" w:color="auto"/>
              <w:bottom w:val="single" w:sz="4" w:space="0" w:color="auto"/>
            </w:tcBorders>
            <w:noWrap/>
            <w:hideMark/>
          </w:tcPr>
          <w:p w14:paraId="268CD587" w14:textId="77777777" w:rsidR="00E61527" w:rsidRPr="001B3524" w:rsidRDefault="00E61527" w:rsidP="001146C3">
            <w:r w:rsidRPr="001B3524">
              <w:t>Against</w:t>
            </w:r>
          </w:p>
        </w:tc>
      </w:tr>
      <w:tr w:rsidR="00E61527" w:rsidRPr="001B3524" w14:paraId="0B6EAECA" w14:textId="77777777" w:rsidTr="00B24459">
        <w:trPr>
          <w:trHeight w:val="300"/>
        </w:trPr>
        <w:tc>
          <w:tcPr>
            <w:tcW w:w="2518" w:type="dxa"/>
            <w:tcBorders>
              <w:top w:val="single" w:sz="4" w:space="0" w:color="auto"/>
              <w:bottom w:val="single" w:sz="4" w:space="0" w:color="auto"/>
            </w:tcBorders>
            <w:noWrap/>
            <w:hideMark/>
          </w:tcPr>
          <w:p w14:paraId="03000A54" w14:textId="59E577ED" w:rsidR="00E61527" w:rsidRPr="001B3524" w:rsidRDefault="006209E3" w:rsidP="001146C3">
            <w:r>
              <w:t>How the vote was cast</w:t>
            </w:r>
          </w:p>
        </w:tc>
        <w:tc>
          <w:tcPr>
            <w:tcW w:w="7655" w:type="dxa"/>
            <w:tcBorders>
              <w:top w:val="single" w:sz="4" w:space="0" w:color="auto"/>
              <w:bottom w:val="single" w:sz="4" w:space="0" w:color="auto"/>
            </w:tcBorders>
            <w:noWrap/>
            <w:hideMark/>
          </w:tcPr>
          <w:p w14:paraId="3398E3FA" w14:textId="7E149966" w:rsidR="00E61527" w:rsidRPr="001B3524" w:rsidRDefault="00514E89" w:rsidP="001146C3">
            <w:r>
              <w:t>For</w:t>
            </w:r>
          </w:p>
        </w:tc>
      </w:tr>
      <w:tr w:rsidR="00514E89" w:rsidRPr="001B3524" w14:paraId="199AEE89" w14:textId="77777777" w:rsidTr="00B24459">
        <w:trPr>
          <w:trHeight w:val="300"/>
        </w:trPr>
        <w:tc>
          <w:tcPr>
            <w:tcW w:w="2518" w:type="dxa"/>
            <w:tcBorders>
              <w:top w:val="single" w:sz="4" w:space="0" w:color="auto"/>
              <w:bottom w:val="single" w:sz="4" w:space="0" w:color="auto"/>
            </w:tcBorders>
            <w:noWrap/>
          </w:tcPr>
          <w:p w14:paraId="2CE877CD" w14:textId="14DB000B" w:rsidR="00514E89" w:rsidRPr="001B3524" w:rsidRDefault="00514E89" w:rsidP="001146C3">
            <w:r>
              <w:t>Vote Outcome</w:t>
            </w:r>
          </w:p>
        </w:tc>
        <w:tc>
          <w:tcPr>
            <w:tcW w:w="7655" w:type="dxa"/>
            <w:tcBorders>
              <w:top w:val="single" w:sz="4" w:space="0" w:color="auto"/>
              <w:bottom w:val="single" w:sz="4" w:space="0" w:color="auto"/>
            </w:tcBorders>
            <w:noWrap/>
          </w:tcPr>
          <w:p w14:paraId="6D48B6D5" w14:textId="4F2CCDBE" w:rsidR="00514E89" w:rsidRDefault="00514E89" w:rsidP="001146C3">
            <w:r>
              <w:t>Voted Down</w:t>
            </w:r>
          </w:p>
        </w:tc>
      </w:tr>
      <w:tr w:rsidR="00E61527" w:rsidRPr="001B3524" w14:paraId="5D6F3A29" w14:textId="77777777" w:rsidTr="00B24459">
        <w:trPr>
          <w:trHeight w:val="300"/>
        </w:trPr>
        <w:tc>
          <w:tcPr>
            <w:tcW w:w="10173" w:type="dxa"/>
            <w:gridSpan w:val="2"/>
            <w:tcBorders>
              <w:top w:val="single" w:sz="4" w:space="0" w:color="auto"/>
              <w:bottom w:val="single" w:sz="4" w:space="0" w:color="auto"/>
            </w:tcBorders>
            <w:noWrap/>
            <w:hideMark/>
          </w:tcPr>
          <w:p w14:paraId="30343202" w14:textId="77777777" w:rsidR="00E61527" w:rsidRPr="001B3524" w:rsidRDefault="00E61527" w:rsidP="001146C3">
            <w:pPr>
              <w:rPr>
                <w:b/>
                <w:bCs/>
              </w:rPr>
            </w:pPr>
            <w:r w:rsidRPr="001B3524">
              <w:rPr>
                <w:b/>
                <w:bCs/>
              </w:rPr>
              <w:t>Rationale</w:t>
            </w:r>
          </w:p>
        </w:tc>
      </w:tr>
      <w:tr w:rsidR="00E61527" w:rsidRPr="001B3524" w14:paraId="05A72E6B" w14:textId="77777777" w:rsidTr="00B24459">
        <w:trPr>
          <w:trHeight w:val="300"/>
        </w:trPr>
        <w:tc>
          <w:tcPr>
            <w:tcW w:w="10173" w:type="dxa"/>
            <w:gridSpan w:val="2"/>
            <w:tcBorders>
              <w:top w:val="single" w:sz="4" w:space="0" w:color="auto"/>
              <w:bottom w:val="single" w:sz="4" w:space="0" w:color="auto"/>
            </w:tcBorders>
            <w:noWrap/>
            <w:hideMark/>
          </w:tcPr>
          <w:p w14:paraId="0F172305" w14:textId="1114CEB3" w:rsidR="00E61527" w:rsidRPr="001B3524" w:rsidRDefault="00514E89" w:rsidP="001146C3">
            <w:r w:rsidRPr="00514E89">
              <w:t xml:space="preserve">We are encouraged by the Company's indication that it will disclose appeals received related to government requests, to take down apps from its app store, which will help shareholders understand which requests are most controversial. Nonetheless, we believe that it would be prudent for the Company to exhibit enhanced transparency around how it respects the right to free expression, especially in light of the disclosure provided by peers. Given that this is a precatory proposal, we believe that the Company has the flexibility to implement its request in a manner that does </w:t>
            </w:r>
            <w:r>
              <w:t xml:space="preserve">not </w:t>
            </w:r>
            <w:r w:rsidRPr="00514E89">
              <w:t>violate any laws or regulations and that does not harm shareholder interests.</w:t>
            </w:r>
          </w:p>
        </w:tc>
      </w:tr>
    </w:tbl>
    <w:p w14:paraId="5D03F22A" w14:textId="2A19CEED" w:rsidR="00025D00" w:rsidRDefault="00025D00" w:rsidP="00693F8F">
      <w:pPr>
        <w:pStyle w:val="Heading3"/>
        <w:rPr>
          <w:color w:val="66AADD" w:themeColor="accent1"/>
        </w:rPr>
      </w:pPr>
    </w:p>
    <w:tbl>
      <w:tblPr>
        <w:tblStyle w:val="TableGrid"/>
        <w:tblW w:w="1017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18"/>
        <w:gridCol w:w="7655"/>
      </w:tblGrid>
      <w:tr w:rsidR="00025D00" w:rsidRPr="001B3524" w14:paraId="647E6624" w14:textId="77777777" w:rsidTr="00A12B89">
        <w:trPr>
          <w:trHeight w:val="300"/>
        </w:trPr>
        <w:tc>
          <w:tcPr>
            <w:tcW w:w="10173" w:type="dxa"/>
            <w:gridSpan w:val="2"/>
            <w:tcBorders>
              <w:top w:val="single" w:sz="4" w:space="0" w:color="auto"/>
              <w:bottom w:val="single" w:sz="4" w:space="0" w:color="auto"/>
            </w:tcBorders>
            <w:noWrap/>
            <w:hideMark/>
          </w:tcPr>
          <w:p w14:paraId="7306BC9A" w14:textId="64AD72A8" w:rsidR="00025D00" w:rsidRPr="001B3524" w:rsidRDefault="00025D00" w:rsidP="00A12B89">
            <w:pPr>
              <w:rPr>
                <w:b/>
                <w:bCs/>
              </w:rPr>
            </w:pPr>
            <w:r w:rsidRPr="00025D00">
              <w:rPr>
                <w:b/>
                <w:bCs/>
              </w:rPr>
              <w:t>Travelers Companies Inc.</w:t>
            </w:r>
          </w:p>
        </w:tc>
      </w:tr>
      <w:tr w:rsidR="00025D00" w:rsidRPr="001B3524" w14:paraId="7A680FD5" w14:textId="77777777" w:rsidTr="00A12B89">
        <w:trPr>
          <w:trHeight w:val="300"/>
        </w:trPr>
        <w:tc>
          <w:tcPr>
            <w:tcW w:w="10173" w:type="dxa"/>
            <w:gridSpan w:val="2"/>
            <w:tcBorders>
              <w:top w:val="single" w:sz="4" w:space="0" w:color="auto"/>
              <w:bottom w:val="single" w:sz="4" w:space="0" w:color="auto"/>
            </w:tcBorders>
            <w:noWrap/>
            <w:hideMark/>
          </w:tcPr>
          <w:p w14:paraId="60215934" w14:textId="791B0128" w:rsidR="00025D00" w:rsidRPr="001B3524" w:rsidRDefault="00025D00" w:rsidP="00A12B89">
            <w:pPr>
              <w:rPr>
                <w:i/>
                <w:iCs/>
              </w:rPr>
            </w:pPr>
            <w:r w:rsidRPr="00025D00">
              <w:rPr>
                <w:i/>
                <w:iCs/>
              </w:rPr>
              <w:t>Shareholder Proposal Regarding Diversity Reporting</w:t>
            </w:r>
          </w:p>
        </w:tc>
      </w:tr>
      <w:tr w:rsidR="00025D00" w:rsidRPr="001B3524" w14:paraId="5B637FF0" w14:textId="77777777" w:rsidTr="00A12B89">
        <w:trPr>
          <w:trHeight w:val="300"/>
        </w:trPr>
        <w:tc>
          <w:tcPr>
            <w:tcW w:w="2518" w:type="dxa"/>
            <w:tcBorders>
              <w:top w:val="single" w:sz="4" w:space="0" w:color="auto"/>
              <w:bottom w:val="single" w:sz="4" w:space="0" w:color="auto"/>
            </w:tcBorders>
            <w:noWrap/>
            <w:hideMark/>
          </w:tcPr>
          <w:p w14:paraId="05344675" w14:textId="77777777" w:rsidR="00025D00" w:rsidRPr="001B3524" w:rsidRDefault="00025D00" w:rsidP="00A12B89">
            <w:r w:rsidRPr="001B3524">
              <w:t>Mgmt. Rec.</w:t>
            </w:r>
          </w:p>
        </w:tc>
        <w:tc>
          <w:tcPr>
            <w:tcW w:w="7655" w:type="dxa"/>
            <w:tcBorders>
              <w:top w:val="single" w:sz="4" w:space="0" w:color="auto"/>
              <w:bottom w:val="single" w:sz="4" w:space="0" w:color="auto"/>
            </w:tcBorders>
            <w:noWrap/>
            <w:hideMark/>
          </w:tcPr>
          <w:p w14:paraId="417FB585" w14:textId="77777777" w:rsidR="00025D00" w:rsidRPr="001B3524" w:rsidRDefault="00025D00" w:rsidP="00A12B89">
            <w:r w:rsidRPr="001B3524">
              <w:t>Against</w:t>
            </w:r>
          </w:p>
        </w:tc>
      </w:tr>
      <w:tr w:rsidR="00025D00" w:rsidRPr="001B3524" w14:paraId="3893A071" w14:textId="77777777" w:rsidTr="00A12B89">
        <w:trPr>
          <w:trHeight w:val="300"/>
        </w:trPr>
        <w:tc>
          <w:tcPr>
            <w:tcW w:w="2518" w:type="dxa"/>
            <w:tcBorders>
              <w:top w:val="single" w:sz="4" w:space="0" w:color="auto"/>
              <w:bottom w:val="single" w:sz="4" w:space="0" w:color="auto"/>
            </w:tcBorders>
            <w:noWrap/>
            <w:hideMark/>
          </w:tcPr>
          <w:p w14:paraId="1330051D" w14:textId="77777777" w:rsidR="00025D00" w:rsidRPr="001B3524" w:rsidRDefault="00025D00" w:rsidP="00A12B89">
            <w:r>
              <w:t>How the vote was cast</w:t>
            </w:r>
          </w:p>
        </w:tc>
        <w:tc>
          <w:tcPr>
            <w:tcW w:w="7655" w:type="dxa"/>
            <w:tcBorders>
              <w:top w:val="single" w:sz="4" w:space="0" w:color="auto"/>
              <w:bottom w:val="single" w:sz="4" w:space="0" w:color="auto"/>
            </w:tcBorders>
            <w:noWrap/>
            <w:hideMark/>
          </w:tcPr>
          <w:p w14:paraId="3440E4BB" w14:textId="77777777" w:rsidR="00025D00" w:rsidRPr="001B3524" w:rsidRDefault="00025D00" w:rsidP="00A12B89">
            <w:r>
              <w:t>For</w:t>
            </w:r>
          </w:p>
        </w:tc>
      </w:tr>
      <w:tr w:rsidR="00025D00" w14:paraId="76CB9A27" w14:textId="77777777" w:rsidTr="00A12B89">
        <w:trPr>
          <w:trHeight w:val="300"/>
        </w:trPr>
        <w:tc>
          <w:tcPr>
            <w:tcW w:w="2518" w:type="dxa"/>
            <w:tcBorders>
              <w:top w:val="single" w:sz="4" w:space="0" w:color="auto"/>
              <w:bottom w:val="single" w:sz="4" w:space="0" w:color="auto"/>
            </w:tcBorders>
            <w:noWrap/>
          </w:tcPr>
          <w:p w14:paraId="127EE5F9" w14:textId="77777777" w:rsidR="00025D00" w:rsidRPr="001B3524" w:rsidRDefault="00025D00" w:rsidP="00A12B89">
            <w:r>
              <w:t>Vote Outcome</w:t>
            </w:r>
          </w:p>
        </w:tc>
        <w:tc>
          <w:tcPr>
            <w:tcW w:w="7655" w:type="dxa"/>
            <w:tcBorders>
              <w:top w:val="single" w:sz="4" w:space="0" w:color="auto"/>
              <w:bottom w:val="single" w:sz="4" w:space="0" w:color="auto"/>
            </w:tcBorders>
            <w:noWrap/>
          </w:tcPr>
          <w:p w14:paraId="2949298C" w14:textId="10CADB72" w:rsidR="00025D00" w:rsidRDefault="00025D00" w:rsidP="00A12B89">
            <w:r>
              <w:t>Passed</w:t>
            </w:r>
          </w:p>
        </w:tc>
      </w:tr>
      <w:tr w:rsidR="00025D00" w:rsidRPr="001B3524" w14:paraId="35A35D86" w14:textId="77777777" w:rsidTr="00A12B89">
        <w:trPr>
          <w:trHeight w:val="300"/>
        </w:trPr>
        <w:tc>
          <w:tcPr>
            <w:tcW w:w="10173" w:type="dxa"/>
            <w:gridSpan w:val="2"/>
            <w:tcBorders>
              <w:top w:val="single" w:sz="4" w:space="0" w:color="auto"/>
              <w:bottom w:val="single" w:sz="4" w:space="0" w:color="auto"/>
            </w:tcBorders>
            <w:noWrap/>
            <w:hideMark/>
          </w:tcPr>
          <w:p w14:paraId="7BE5B024" w14:textId="77777777" w:rsidR="00025D00" w:rsidRPr="001B3524" w:rsidRDefault="00025D00" w:rsidP="00A12B89">
            <w:pPr>
              <w:rPr>
                <w:b/>
                <w:bCs/>
              </w:rPr>
            </w:pPr>
            <w:r w:rsidRPr="001B3524">
              <w:rPr>
                <w:b/>
                <w:bCs/>
              </w:rPr>
              <w:t>Rationale</w:t>
            </w:r>
          </w:p>
        </w:tc>
      </w:tr>
      <w:tr w:rsidR="00025D00" w:rsidRPr="001B3524" w14:paraId="74050A3F" w14:textId="77777777" w:rsidTr="00A12B89">
        <w:trPr>
          <w:trHeight w:val="300"/>
        </w:trPr>
        <w:tc>
          <w:tcPr>
            <w:tcW w:w="10173" w:type="dxa"/>
            <w:gridSpan w:val="2"/>
            <w:tcBorders>
              <w:top w:val="single" w:sz="4" w:space="0" w:color="auto"/>
              <w:bottom w:val="single" w:sz="4" w:space="0" w:color="auto"/>
            </w:tcBorders>
            <w:noWrap/>
            <w:hideMark/>
          </w:tcPr>
          <w:p w14:paraId="5747AEAD" w14:textId="7EF3D6D5" w:rsidR="00025D00" w:rsidRPr="001B3524" w:rsidRDefault="00025D00" w:rsidP="00A12B89">
            <w:r w:rsidRPr="00025D00">
              <w:t>We recognize that the Company provides information concerning its diversity programs and the steps it is taking to support diverse employees. However, unlike peers, the Company provides no information concerning the breakdown of its workforce with respect to gender or ethnicity. We recognize that reporting against EEOC-defined job categories may not provide the appropriate nuance regarding the Company's organizational structure. However, as this proposal is precatory in nature, we believe that this request could be fulfilled by a more detailed accounting of its workforce demographics.</w:t>
            </w:r>
          </w:p>
        </w:tc>
      </w:tr>
    </w:tbl>
    <w:p w14:paraId="3B241A03" w14:textId="6EF16758" w:rsidR="00025D00" w:rsidRDefault="00025D00" w:rsidP="00025D00"/>
    <w:tbl>
      <w:tblPr>
        <w:tblStyle w:val="TableGrid"/>
        <w:tblW w:w="1017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18"/>
        <w:gridCol w:w="7655"/>
      </w:tblGrid>
      <w:tr w:rsidR="00025D00" w:rsidRPr="001B3524" w14:paraId="4E48409B" w14:textId="77777777" w:rsidTr="00A12B89">
        <w:trPr>
          <w:trHeight w:val="300"/>
        </w:trPr>
        <w:tc>
          <w:tcPr>
            <w:tcW w:w="10173" w:type="dxa"/>
            <w:gridSpan w:val="2"/>
            <w:tcBorders>
              <w:top w:val="single" w:sz="4" w:space="0" w:color="auto"/>
              <w:bottom w:val="single" w:sz="4" w:space="0" w:color="auto"/>
            </w:tcBorders>
            <w:noWrap/>
            <w:hideMark/>
          </w:tcPr>
          <w:p w14:paraId="04E13203" w14:textId="0BCD5537" w:rsidR="00025D00" w:rsidRPr="001B3524" w:rsidRDefault="00025D00" w:rsidP="00A12B89">
            <w:pPr>
              <w:rPr>
                <w:b/>
                <w:bCs/>
              </w:rPr>
            </w:pPr>
            <w:r w:rsidRPr="00025D00">
              <w:rPr>
                <w:b/>
                <w:bCs/>
              </w:rPr>
              <w:t>Newell Brands Inc</w:t>
            </w:r>
          </w:p>
        </w:tc>
      </w:tr>
      <w:tr w:rsidR="00025D00" w:rsidRPr="001B3524" w14:paraId="60AFC102" w14:textId="77777777" w:rsidTr="00A12B89">
        <w:trPr>
          <w:trHeight w:val="300"/>
        </w:trPr>
        <w:tc>
          <w:tcPr>
            <w:tcW w:w="10173" w:type="dxa"/>
            <w:gridSpan w:val="2"/>
            <w:tcBorders>
              <w:top w:val="single" w:sz="4" w:space="0" w:color="auto"/>
              <w:bottom w:val="single" w:sz="4" w:space="0" w:color="auto"/>
            </w:tcBorders>
            <w:noWrap/>
            <w:hideMark/>
          </w:tcPr>
          <w:p w14:paraId="44E357E5" w14:textId="2B1F3CFF" w:rsidR="00025D00" w:rsidRPr="001B3524" w:rsidRDefault="00025D00" w:rsidP="00A12B89">
            <w:pPr>
              <w:rPr>
                <w:i/>
                <w:iCs/>
              </w:rPr>
            </w:pPr>
            <w:r w:rsidRPr="00025D00">
              <w:rPr>
                <w:i/>
                <w:iCs/>
              </w:rPr>
              <w:t>Shareholder Proposal Regarding Executive Diversity Report</w:t>
            </w:r>
          </w:p>
        </w:tc>
      </w:tr>
      <w:tr w:rsidR="00025D00" w:rsidRPr="001B3524" w14:paraId="47F15C2C" w14:textId="77777777" w:rsidTr="00A12B89">
        <w:trPr>
          <w:trHeight w:val="300"/>
        </w:trPr>
        <w:tc>
          <w:tcPr>
            <w:tcW w:w="2518" w:type="dxa"/>
            <w:tcBorders>
              <w:top w:val="single" w:sz="4" w:space="0" w:color="auto"/>
              <w:bottom w:val="single" w:sz="4" w:space="0" w:color="auto"/>
            </w:tcBorders>
            <w:noWrap/>
            <w:hideMark/>
          </w:tcPr>
          <w:p w14:paraId="518C5B3E" w14:textId="77777777" w:rsidR="00025D00" w:rsidRPr="001B3524" w:rsidRDefault="00025D00" w:rsidP="00A12B89">
            <w:r w:rsidRPr="001B3524">
              <w:t>Mgmt. Rec.</w:t>
            </w:r>
          </w:p>
        </w:tc>
        <w:tc>
          <w:tcPr>
            <w:tcW w:w="7655" w:type="dxa"/>
            <w:tcBorders>
              <w:top w:val="single" w:sz="4" w:space="0" w:color="auto"/>
              <w:bottom w:val="single" w:sz="4" w:space="0" w:color="auto"/>
            </w:tcBorders>
            <w:noWrap/>
            <w:hideMark/>
          </w:tcPr>
          <w:p w14:paraId="10953A7C" w14:textId="77777777" w:rsidR="00025D00" w:rsidRPr="001B3524" w:rsidRDefault="00025D00" w:rsidP="00A12B89">
            <w:r w:rsidRPr="001B3524">
              <w:t>Against</w:t>
            </w:r>
          </w:p>
        </w:tc>
      </w:tr>
      <w:tr w:rsidR="00025D00" w:rsidRPr="001B3524" w14:paraId="799D94AD" w14:textId="77777777" w:rsidTr="00A12B89">
        <w:trPr>
          <w:trHeight w:val="300"/>
        </w:trPr>
        <w:tc>
          <w:tcPr>
            <w:tcW w:w="2518" w:type="dxa"/>
            <w:tcBorders>
              <w:top w:val="single" w:sz="4" w:space="0" w:color="auto"/>
              <w:bottom w:val="single" w:sz="4" w:space="0" w:color="auto"/>
            </w:tcBorders>
            <w:noWrap/>
            <w:hideMark/>
          </w:tcPr>
          <w:p w14:paraId="1169D582" w14:textId="77777777" w:rsidR="00025D00" w:rsidRPr="001B3524" w:rsidRDefault="00025D00" w:rsidP="00A12B89">
            <w:r>
              <w:t>How the vote was cast</w:t>
            </w:r>
          </w:p>
        </w:tc>
        <w:tc>
          <w:tcPr>
            <w:tcW w:w="7655" w:type="dxa"/>
            <w:tcBorders>
              <w:top w:val="single" w:sz="4" w:space="0" w:color="auto"/>
              <w:bottom w:val="single" w:sz="4" w:space="0" w:color="auto"/>
            </w:tcBorders>
            <w:noWrap/>
            <w:hideMark/>
          </w:tcPr>
          <w:p w14:paraId="2430A7AE" w14:textId="77777777" w:rsidR="00025D00" w:rsidRPr="001B3524" w:rsidRDefault="00025D00" w:rsidP="00A12B89">
            <w:r>
              <w:t>For</w:t>
            </w:r>
          </w:p>
        </w:tc>
      </w:tr>
      <w:tr w:rsidR="00025D00" w14:paraId="2F5B229A" w14:textId="77777777" w:rsidTr="00A12B89">
        <w:trPr>
          <w:trHeight w:val="300"/>
        </w:trPr>
        <w:tc>
          <w:tcPr>
            <w:tcW w:w="2518" w:type="dxa"/>
            <w:tcBorders>
              <w:top w:val="single" w:sz="4" w:space="0" w:color="auto"/>
              <w:bottom w:val="single" w:sz="4" w:space="0" w:color="auto"/>
            </w:tcBorders>
            <w:noWrap/>
          </w:tcPr>
          <w:p w14:paraId="2D5DA237" w14:textId="77777777" w:rsidR="00025D00" w:rsidRPr="001B3524" w:rsidRDefault="00025D00" w:rsidP="00A12B89">
            <w:r>
              <w:t>Vote Outcome</w:t>
            </w:r>
          </w:p>
        </w:tc>
        <w:tc>
          <w:tcPr>
            <w:tcW w:w="7655" w:type="dxa"/>
            <w:tcBorders>
              <w:top w:val="single" w:sz="4" w:space="0" w:color="auto"/>
              <w:bottom w:val="single" w:sz="4" w:space="0" w:color="auto"/>
            </w:tcBorders>
            <w:noWrap/>
          </w:tcPr>
          <w:p w14:paraId="7C24EB13" w14:textId="77777777" w:rsidR="00025D00" w:rsidRDefault="00025D00" w:rsidP="00A12B89">
            <w:r>
              <w:t>Passed</w:t>
            </w:r>
          </w:p>
        </w:tc>
      </w:tr>
      <w:tr w:rsidR="00025D00" w:rsidRPr="001B3524" w14:paraId="1F13D274" w14:textId="77777777" w:rsidTr="00A12B89">
        <w:trPr>
          <w:trHeight w:val="300"/>
        </w:trPr>
        <w:tc>
          <w:tcPr>
            <w:tcW w:w="10173" w:type="dxa"/>
            <w:gridSpan w:val="2"/>
            <w:tcBorders>
              <w:top w:val="single" w:sz="4" w:space="0" w:color="auto"/>
              <w:bottom w:val="single" w:sz="4" w:space="0" w:color="auto"/>
            </w:tcBorders>
            <w:noWrap/>
            <w:hideMark/>
          </w:tcPr>
          <w:p w14:paraId="564B3A99" w14:textId="77777777" w:rsidR="00025D00" w:rsidRPr="001B3524" w:rsidRDefault="00025D00" w:rsidP="00A12B89">
            <w:pPr>
              <w:rPr>
                <w:b/>
                <w:bCs/>
              </w:rPr>
            </w:pPr>
            <w:r w:rsidRPr="001B3524">
              <w:rPr>
                <w:b/>
                <w:bCs/>
              </w:rPr>
              <w:t>Rationale</w:t>
            </w:r>
          </w:p>
        </w:tc>
      </w:tr>
      <w:tr w:rsidR="00025D00" w:rsidRPr="001B3524" w14:paraId="27EE86D7" w14:textId="77777777" w:rsidTr="00A12B89">
        <w:trPr>
          <w:trHeight w:val="300"/>
        </w:trPr>
        <w:tc>
          <w:tcPr>
            <w:tcW w:w="10173" w:type="dxa"/>
            <w:gridSpan w:val="2"/>
            <w:tcBorders>
              <w:top w:val="single" w:sz="4" w:space="0" w:color="auto"/>
              <w:bottom w:val="single" w:sz="4" w:space="0" w:color="auto"/>
            </w:tcBorders>
            <w:noWrap/>
            <w:hideMark/>
          </w:tcPr>
          <w:p w14:paraId="567D81EF" w14:textId="4CB36A5A" w:rsidR="00025D00" w:rsidRPr="001B3524" w:rsidRDefault="00025D00" w:rsidP="00A12B89">
            <w:r w:rsidRPr="00025D00">
              <w:t>We believe that enhanced disclosure around how the Company is planning to approach the issue of diversity among its leadership team is warranted. We do not believe that it would be unnecessarily burdensome for Company to provide shareholders with information concerning how it is planning to tackle the issue of promoting diverse candidates to its senior leadership team, particularly given research to suggest that ensuring diversity within executive ranks could lead to better corporate performance.</w:t>
            </w:r>
          </w:p>
        </w:tc>
      </w:tr>
    </w:tbl>
    <w:p w14:paraId="3E169F11" w14:textId="77777777" w:rsidR="00025D00" w:rsidRPr="00025D00" w:rsidRDefault="00025D00" w:rsidP="00025D00"/>
    <w:p w14:paraId="20B1E238" w14:textId="2854CFC2" w:rsidR="00E61527" w:rsidRDefault="00E61527" w:rsidP="00693F8F">
      <w:pPr>
        <w:pStyle w:val="Heading3"/>
        <w:rPr>
          <w:color w:val="66AADD" w:themeColor="accent1"/>
        </w:rPr>
      </w:pPr>
      <w:r w:rsidRPr="00E61527">
        <w:rPr>
          <w:color w:val="66AADD" w:themeColor="accent1"/>
        </w:rPr>
        <w:t>Governance Votes</w:t>
      </w:r>
    </w:p>
    <w:tbl>
      <w:tblPr>
        <w:tblStyle w:val="TableGrid"/>
        <w:tblW w:w="10173"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7655"/>
      </w:tblGrid>
      <w:tr w:rsidR="00025D00" w:rsidRPr="001B3524" w14:paraId="4D4476B5" w14:textId="77777777" w:rsidTr="00A12B89">
        <w:trPr>
          <w:trHeight w:val="300"/>
        </w:trPr>
        <w:tc>
          <w:tcPr>
            <w:tcW w:w="10173" w:type="dxa"/>
            <w:gridSpan w:val="2"/>
            <w:noWrap/>
            <w:hideMark/>
          </w:tcPr>
          <w:p w14:paraId="652811EC" w14:textId="36A0E1A0" w:rsidR="00025D00" w:rsidRPr="001B3524" w:rsidRDefault="00025D00" w:rsidP="00A12B89">
            <w:pPr>
              <w:rPr>
                <w:b/>
                <w:bCs/>
              </w:rPr>
            </w:pPr>
            <w:r w:rsidRPr="00025D00">
              <w:rPr>
                <w:b/>
                <w:bCs/>
              </w:rPr>
              <w:t>AT&amp;T, Inc.</w:t>
            </w:r>
          </w:p>
        </w:tc>
      </w:tr>
      <w:tr w:rsidR="00025D00" w:rsidRPr="001B3524" w14:paraId="260524D6" w14:textId="77777777" w:rsidTr="00A12B89">
        <w:trPr>
          <w:trHeight w:val="300"/>
        </w:trPr>
        <w:tc>
          <w:tcPr>
            <w:tcW w:w="10173" w:type="dxa"/>
            <w:gridSpan w:val="2"/>
            <w:noWrap/>
            <w:hideMark/>
          </w:tcPr>
          <w:p w14:paraId="568ACDC7" w14:textId="7373C9CC" w:rsidR="00025D00" w:rsidRPr="001B3524" w:rsidRDefault="00025D00" w:rsidP="00A12B89">
            <w:pPr>
              <w:rPr>
                <w:i/>
                <w:iCs/>
              </w:rPr>
            </w:pPr>
            <w:r w:rsidRPr="00025D00">
              <w:rPr>
                <w:i/>
                <w:iCs/>
              </w:rPr>
              <w:t>Shareholder Proposal Regarding Independent Chair</w:t>
            </w:r>
          </w:p>
        </w:tc>
      </w:tr>
      <w:tr w:rsidR="00025D00" w:rsidRPr="001B3524" w14:paraId="3F1E4474" w14:textId="77777777" w:rsidTr="00A12B89">
        <w:trPr>
          <w:trHeight w:val="300"/>
        </w:trPr>
        <w:tc>
          <w:tcPr>
            <w:tcW w:w="2518" w:type="dxa"/>
            <w:noWrap/>
            <w:hideMark/>
          </w:tcPr>
          <w:p w14:paraId="2E62DB8B" w14:textId="77777777" w:rsidR="00025D00" w:rsidRPr="001B3524" w:rsidRDefault="00025D00" w:rsidP="00A12B89">
            <w:r w:rsidRPr="001B3524">
              <w:t>Mgmt. Rec.</w:t>
            </w:r>
          </w:p>
        </w:tc>
        <w:tc>
          <w:tcPr>
            <w:tcW w:w="7655" w:type="dxa"/>
            <w:noWrap/>
            <w:hideMark/>
          </w:tcPr>
          <w:p w14:paraId="218D2702" w14:textId="77777777" w:rsidR="00025D00" w:rsidRPr="001B3524" w:rsidRDefault="00025D00" w:rsidP="00A12B89">
            <w:r>
              <w:t>For</w:t>
            </w:r>
          </w:p>
        </w:tc>
      </w:tr>
      <w:tr w:rsidR="00025D00" w:rsidRPr="001B3524" w14:paraId="06D647F4" w14:textId="77777777" w:rsidTr="00A12B89">
        <w:trPr>
          <w:trHeight w:val="300"/>
        </w:trPr>
        <w:tc>
          <w:tcPr>
            <w:tcW w:w="2518" w:type="dxa"/>
            <w:noWrap/>
            <w:hideMark/>
          </w:tcPr>
          <w:p w14:paraId="0734EFFC" w14:textId="77777777" w:rsidR="00025D00" w:rsidRPr="001B3524" w:rsidRDefault="00025D00" w:rsidP="00A12B89">
            <w:r>
              <w:t>How the vote was cast</w:t>
            </w:r>
          </w:p>
        </w:tc>
        <w:tc>
          <w:tcPr>
            <w:tcW w:w="7655" w:type="dxa"/>
            <w:noWrap/>
            <w:hideMark/>
          </w:tcPr>
          <w:p w14:paraId="14E741DC" w14:textId="77777777" w:rsidR="00025D00" w:rsidRPr="001B3524" w:rsidRDefault="00025D00" w:rsidP="00A12B89">
            <w:r>
              <w:t>Against</w:t>
            </w:r>
          </w:p>
        </w:tc>
      </w:tr>
      <w:tr w:rsidR="00025D00" w:rsidRPr="001B3524" w14:paraId="41347460" w14:textId="77777777" w:rsidTr="00A12B89">
        <w:trPr>
          <w:trHeight w:val="300"/>
        </w:trPr>
        <w:tc>
          <w:tcPr>
            <w:tcW w:w="2518" w:type="dxa"/>
            <w:noWrap/>
          </w:tcPr>
          <w:p w14:paraId="65930380" w14:textId="77777777" w:rsidR="00025D00" w:rsidRPr="001B3524" w:rsidRDefault="00025D00" w:rsidP="00A12B89">
            <w:r>
              <w:t>Vote Outcome</w:t>
            </w:r>
          </w:p>
        </w:tc>
        <w:tc>
          <w:tcPr>
            <w:tcW w:w="7655" w:type="dxa"/>
            <w:noWrap/>
          </w:tcPr>
          <w:p w14:paraId="53FA379D" w14:textId="5A6F50F0" w:rsidR="00025D00" w:rsidRPr="001B3524" w:rsidRDefault="00025D00" w:rsidP="00A12B89">
            <w:r>
              <w:t>Voted Down</w:t>
            </w:r>
          </w:p>
        </w:tc>
      </w:tr>
      <w:tr w:rsidR="00025D00" w:rsidRPr="001B3524" w14:paraId="77D651FE" w14:textId="77777777" w:rsidTr="00A12B89">
        <w:trPr>
          <w:trHeight w:val="300"/>
        </w:trPr>
        <w:tc>
          <w:tcPr>
            <w:tcW w:w="10173" w:type="dxa"/>
            <w:gridSpan w:val="2"/>
            <w:noWrap/>
            <w:hideMark/>
          </w:tcPr>
          <w:p w14:paraId="146167C3" w14:textId="77777777" w:rsidR="00025D00" w:rsidRPr="001B3524" w:rsidRDefault="00025D00" w:rsidP="00A12B89">
            <w:pPr>
              <w:rPr>
                <w:b/>
                <w:bCs/>
              </w:rPr>
            </w:pPr>
            <w:r w:rsidRPr="001B3524">
              <w:rPr>
                <w:b/>
                <w:bCs/>
              </w:rPr>
              <w:t>Rationale</w:t>
            </w:r>
          </w:p>
        </w:tc>
      </w:tr>
      <w:tr w:rsidR="00025D00" w:rsidRPr="001B3524" w14:paraId="507D8A4F" w14:textId="77777777" w:rsidTr="00A12B89">
        <w:trPr>
          <w:trHeight w:val="300"/>
        </w:trPr>
        <w:tc>
          <w:tcPr>
            <w:tcW w:w="10173" w:type="dxa"/>
            <w:gridSpan w:val="2"/>
            <w:noWrap/>
            <w:hideMark/>
          </w:tcPr>
          <w:p w14:paraId="74147947" w14:textId="0ADF05A7" w:rsidR="00025D00" w:rsidRPr="001B3524" w:rsidRDefault="00025D00" w:rsidP="00A12B89">
            <w:r w:rsidRPr="00025D00">
              <w:t>We believe vesting a single person with both executive and board leadership concentrates too much responsibility in a single person and inhibits independent board oversight of executives on behalf of shareholders. We believe adopting a policy requiring an independent chair may therefore serve to protect shareholder interests by ensuring oversight of the Company on behalf of shareholders is led by an individual free from the insurmountable conflict of overseeing oneself. We believe that this resolution is reasonably crafted and that shareholders should support this proposal.</w:t>
            </w:r>
          </w:p>
        </w:tc>
      </w:tr>
    </w:tbl>
    <w:p w14:paraId="58B2FE59" w14:textId="65D47100" w:rsidR="00025D00" w:rsidRDefault="00025D00" w:rsidP="00025D00"/>
    <w:tbl>
      <w:tblPr>
        <w:tblStyle w:val="TableGrid"/>
        <w:tblW w:w="10173"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7655"/>
      </w:tblGrid>
      <w:tr w:rsidR="00025D00" w:rsidRPr="001B3524" w14:paraId="05F7A2EB" w14:textId="77777777" w:rsidTr="00A12B89">
        <w:trPr>
          <w:trHeight w:val="300"/>
        </w:trPr>
        <w:tc>
          <w:tcPr>
            <w:tcW w:w="10173" w:type="dxa"/>
            <w:gridSpan w:val="2"/>
            <w:noWrap/>
            <w:hideMark/>
          </w:tcPr>
          <w:p w14:paraId="5F02B571" w14:textId="6FEE07B6" w:rsidR="00025D00" w:rsidRPr="001B3524" w:rsidRDefault="00025D00" w:rsidP="00A12B89">
            <w:pPr>
              <w:rPr>
                <w:b/>
                <w:bCs/>
              </w:rPr>
            </w:pPr>
            <w:r w:rsidRPr="00025D00">
              <w:rPr>
                <w:b/>
                <w:bCs/>
              </w:rPr>
              <w:t>Verizon Communications Inc</w:t>
            </w:r>
          </w:p>
        </w:tc>
      </w:tr>
      <w:tr w:rsidR="00025D00" w:rsidRPr="001B3524" w14:paraId="7AF74C5E" w14:textId="77777777" w:rsidTr="00A12B89">
        <w:trPr>
          <w:trHeight w:val="300"/>
        </w:trPr>
        <w:tc>
          <w:tcPr>
            <w:tcW w:w="10173" w:type="dxa"/>
            <w:gridSpan w:val="2"/>
            <w:noWrap/>
            <w:hideMark/>
          </w:tcPr>
          <w:p w14:paraId="0831D64F" w14:textId="08E8F1E9" w:rsidR="00025D00" w:rsidRPr="001B3524" w:rsidRDefault="00025D00" w:rsidP="00A12B89">
            <w:pPr>
              <w:rPr>
                <w:i/>
                <w:iCs/>
              </w:rPr>
            </w:pPr>
            <w:r w:rsidRPr="00025D00">
              <w:rPr>
                <w:i/>
                <w:iCs/>
              </w:rPr>
              <w:t>Shareholder Proposal Regarding Severance Approval Policy</w:t>
            </w:r>
          </w:p>
        </w:tc>
      </w:tr>
      <w:tr w:rsidR="00025D00" w:rsidRPr="001B3524" w14:paraId="3F3317A7" w14:textId="77777777" w:rsidTr="00A12B89">
        <w:trPr>
          <w:trHeight w:val="300"/>
        </w:trPr>
        <w:tc>
          <w:tcPr>
            <w:tcW w:w="2518" w:type="dxa"/>
            <w:noWrap/>
            <w:hideMark/>
          </w:tcPr>
          <w:p w14:paraId="7C39B0C6" w14:textId="77777777" w:rsidR="00025D00" w:rsidRPr="001B3524" w:rsidRDefault="00025D00" w:rsidP="00A12B89">
            <w:r w:rsidRPr="001B3524">
              <w:t>Mgmt. Rec.</w:t>
            </w:r>
          </w:p>
        </w:tc>
        <w:tc>
          <w:tcPr>
            <w:tcW w:w="7655" w:type="dxa"/>
            <w:noWrap/>
            <w:hideMark/>
          </w:tcPr>
          <w:p w14:paraId="4C3F9B3C" w14:textId="06BDC9A4" w:rsidR="00025D00" w:rsidRPr="001B3524" w:rsidRDefault="00025D00" w:rsidP="00A12B89">
            <w:r>
              <w:t>Against</w:t>
            </w:r>
          </w:p>
        </w:tc>
      </w:tr>
      <w:tr w:rsidR="00025D00" w:rsidRPr="001B3524" w14:paraId="7116AC3A" w14:textId="77777777" w:rsidTr="00A12B89">
        <w:trPr>
          <w:trHeight w:val="300"/>
        </w:trPr>
        <w:tc>
          <w:tcPr>
            <w:tcW w:w="2518" w:type="dxa"/>
            <w:noWrap/>
            <w:hideMark/>
          </w:tcPr>
          <w:p w14:paraId="261F26C1" w14:textId="77777777" w:rsidR="00025D00" w:rsidRPr="001B3524" w:rsidRDefault="00025D00" w:rsidP="00A12B89">
            <w:r>
              <w:t>How the vote was cast</w:t>
            </w:r>
          </w:p>
        </w:tc>
        <w:tc>
          <w:tcPr>
            <w:tcW w:w="7655" w:type="dxa"/>
            <w:noWrap/>
            <w:hideMark/>
          </w:tcPr>
          <w:p w14:paraId="141E7FBA" w14:textId="77777777" w:rsidR="00025D00" w:rsidRPr="001B3524" w:rsidRDefault="00025D00" w:rsidP="00A12B89">
            <w:r>
              <w:t>Against</w:t>
            </w:r>
          </w:p>
        </w:tc>
      </w:tr>
      <w:tr w:rsidR="00025D00" w:rsidRPr="001B3524" w14:paraId="35B1FF25" w14:textId="77777777" w:rsidTr="00A12B89">
        <w:trPr>
          <w:trHeight w:val="300"/>
        </w:trPr>
        <w:tc>
          <w:tcPr>
            <w:tcW w:w="2518" w:type="dxa"/>
            <w:noWrap/>
          </w:tcPr>
          <w:p w14:paraId="0DDA2CFA" w14:textId="77777777" w:rsidR="00025D00" w:rsidRPr="001B3524" w:rsidRDefault="00025D00" w:rsidP="00A12B89">
            <w:r>
              <w:t>Vote Outcome</w:t>
            </w:r>
          </w:p>
        </w:tc>
        <w:tc>
          <w:tcPr>
            <w:tcW w:w="7655" w:type="dxa"/>
            <w:noWrap/>
          </w:tcPr>
          <w:p w14:paraId="05FC28B3" w14:textId="77777777" w:rsidR="00025D00" w:rsidRPr="001B3524" w:rsidRDefault="00025D00" w:rsidP="00A12B89">
            <w:r>
              <w:t>Voted Down</w:t>
            </w:r>
          </w:p>
        </w:tc>
      </w:tr>
      <w:tr w:rsidR="00025D00" w:rsidRPr="001B3524" w14:paraId="7C336192" w14:textId="77777777" w:rsidTr="00A12B89">
        <w:trPr>
          <w:trHeight w:val="300"/>
        </w:trPr>
        <w:tc>
          <w:tcPr>
            <w:tcW w:w="10173" w:type="dxa"/>
            <w:gridSpan w:val="2"/>
            <w:noWrap/>
            <w:hideMark/>
          </w:tcPr>
          <w:p w14:paraId="0895F70D" w14:textId="77777777" w:rsidR="00025D00" w:rsidRPr="001B3524" w:rsidRDefault="00025D00" w:rsidP="00A12B89">
            <w:pPr>
              <w:rPr>
                <w:b/>
                <w:bCs/>
              </w:rPr>
            </w:pPr>
            <w:r w:rsidRPr="001B3524">
              <w:rPr>
                <w:b/>
                <w:bCs/>
              </w:rPr>
              <w:t>Rationale</w:t>
            </w:r>
          </w:p>
        </w:tc>
      </w:tr>
      <w:tr w:rsidR="00025D00" w:rsidRPr="001B3524" w14:paraId="745B9671" w14:textId="77777777" w:rsidTr="00A12B89">
        <w:trPr>
          <w:trHeight w:val="300"/>
        </w:trPr>
        <w:tc>
          <w:tcPr>
            <w:tcW w:w="10173" w:type="dxa"/>
            <w:gridSpan w:val="2"/>
            <w:noWrap/>
            <w:hideMark/>
          </w:tcPr>
          <w:p w14:paraId="5A33128D" w14:textId="5F2B1A90" w:rsidR="00025D00" w:rsidRPr="001B3524" w:rsidRDefault="00025D00" w:rsidP="00A12B89">
            <w:r w:rsidRPr="00025D00">
              <w:t>The Company currently provides for shareholder approval of broadly defined severance agreements above 2.99 times the amount of salary plus bonus. Given shareholders are already afforded an opportunity to approve these payments, we believe that adoption of the requested provision could prove burdensome for the Company and could present challenges in its implementation. As such, we do not believe that support of this proposal is warranted at this time.</w:t>
            </w:r>
          </w:p>
        </w:tc>
      </w:tr>
    </w:tbl>
    <w:p w14:paraId="62584C78" w14:textId="77777777" w:rsidR="00025D00" w:rsidRPr="00025D00" w:rsidRDefault="00025D00" w:rsidP="00025D00"/>
    <w:tbl>
      <w:tblPr>
        <w:tblStyle w:val="TableGrid"/>
        <w:tblW w:w="10173"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7655"/>
      </w:tblGrid>
      <w:tr w:rsidR="00A90777" w:rsidRPr="001B3524" w14:paraId="341F904B" w14:textId="77777777" w:rsidTr="001146C3">
        <w:trPr>
          <w:trHeight w:val="300"/>
        </w:trPr>
        <w:tc>
          <w:tcPr>
            <w:tcW w:w="10173" w:type="dxa"/>
            <w:gridSpan w:val="2"/>
            <w:noWrap/>
            <w:hideMark/>
          </w:tcPr>
          <w:p w14:paraId="63404839" w14:textId="290258A2" w:rsidR="00A90777" w:rsidRPr="001B3524" w:rsidRDefault="00514E89" w:rsidP="001146C3">
            <w:pPr>
              <w:rPr>
                <w:b/>
                <w:bCs/>
              </w:rPr>
            </w:pPr>
            <w:r w:rsidRPr="00514E89">
              <w:rPr>
                <w:b/>
                <w:bCs/>
              </w:rPr>
              <w:t>Paladin Energy Ltd</w:t>
            </w:r>
          </w:p>
        </w:tc>
      </w:tr>
      <w:tr w:rsidR="00A90777" w:rsidRPr="001B3524" w14:paraId="2F91F155" w14:textId="77777777" w:rsidTr="001146C3">
        <w:trPr>
          <w:trHeight w:val="300"/>
        </w:trPr>
        <w:tc>
          <w:tcPr>
            <w:tcW w:w="10173" w:type="dxa"/>
            <w:gridSpan w:val="2"/>
            <w:noWrap/>
            <w:hideMark/>
          </w:tcPr>
          <w:p w14:paraId="39EF6211" w14:textId="1E592ADE" w:rsidR="00A90777" w:rsidRPr="001B3524" w:rsidRDefault="00514E89" w:rsidP="001146C3">
            <w:pPr>
              <w:rPr>
                <w:i/>
                <w:iCs/>
              </w:rPr>
            </w:pPr>
            <w:r w:rsidRPr="00514E89">
              <w:rPr>
                <w:i/>
                <w:iCs/>
              </w:rPr>
              <w:t>REMUNERATION REPORT</w:t>
            </w:r>
          </w:p>
        </w:tc>
      </w:tr>
      <w:tr w:rsidR="00A90777" w:rsidRPr="001B3524" w14:paraId="674935DB" w14:textId="77777777" w:rsidTr="001146C3">
        <w:trPr>
          <w:trHeight w:val="300"/>
        </w:trPr>
        <w:tc>
          <w:tcPr>
            <w:tcW w:w="2518" w:type="dxa"/>
            <w:noWrap/>
            <w:hideMark/>
          </w:tcPr>
          <w:p w14:paraId="03E309A5" w14:textId="77777777" w:rsidR="00A90777" w:rsidRPr="001B3524" w:rsidRDefault="00A90777" w:rsidP="001146C3">
            <w:r w:rsidRPr="001B3524">
              <w:t>Mgmt. Rec.</w:t>
            </w:r>
          </w:p>
        </w:tc>
        <w:tc>
          <w:tcPr>
            <w:tcW w:w="7655" w:type="dxa"/>
            <w:noWrap/>
            <w:hideMark/>
          </w:tcPr>
          <w:p w14:paraId="37F5AF0C" w14:textId="52CADDCA" w:rsidR="00A90777" w:rsidRPr="001B3524" w:rsidRDefault="00514E89" w:rsidP="001146C3">
            <w:r>
              <w:t>For</w:t>
            </w:r>
          </w:p>
        </w:tc>
      </w:tr>
      <w:tr w:rsidR="00A90777" w:rsidRPr="001B3524" w14:paraId="7FD17CB9" w14:textId="77777777" w:rsidTr="001146C3">
        <w:trPr>
          <w:trHeight w:val="300"/>
        </w:trPr>
        <w:tc>
          <w:tcPr>
            <w:tcW w:w="2518" w:type="dxa"/>
            <w:noWrap/>
            <w:hideMark/>
          </w:tcPr>
          <w:p w14:paraId="7EA412FB" w14:textId="533693B1" w:rsidR="00A90777" w:rsidRPr="001B3524" w:rsidRDefault="006209E3" w:rsidP="001146C3">
            <w:r>
              <w:t>How the vote was cast</w:t>
            </w:r>
          </w:p>
        </w:tc>
        <w:tc>
          <w:tcPr>
            <w:tcW w:w="7655" w:type="dxa"/>
            <w:noWrap/>
            <w:hideMark/>
          </w:tcPr>
          <w:p w14:paraId="7779341F" w14:textId="4FE7A687" w:rsidR="00A90777" w:rsidRPr="001B3524" w:rsidRDefault="00514E89" w:rsidP="001146C3">
            <w:r>
              <w:t>Against</w:t>
            </w:r>
          </w:p>
        </w:tc>
      </w:tr>
      <w:tr w:rsidR="00514E89" w:rsidRPr="001B3524" w14:paraId="41708865" w14:textId="77777777" w:rsidTr="001146C3">
        <w:trPr>
          <w:trHeight w:val="300"/>
        </w:trPr>
        <w:tc>
          <w:tcPr>
            <w:tcW w:w="2518" w:type="dxa"/>
            <w:noWrap/>
          </w:tcPr>
          <w:p w14:paraId="1FFD0071" w14:textId="6A6D3396" w:rsidR="00514E89" w:rsidRPr="001B3524" w:rsidRDefault="00514E89" w:rsidP="001146C3">
            <w:r>
              <w:t>Vote Outcome</w:t>
            </w:r>
          </w:p>
        </w:tc>
        <w:tc>
          <w:tcPr>
            <w:tcW w:w="7655" w:type="dxa"/>
            <w:noWrap/>
          </w:tcPr>
          <w:p w14:paraId="4806A18D" w14:textId="345699AD" w:rsidR="00514E89" w:rsidRPr="001B3524" w:rsidRDefault="00514E89" w:rsidP="001146C3">
            <w:r>
              <w:t>Passed</w:t>
            </w:r>
          </w:p>
        </w:tc>
      </w:tr>
      <w:tr w:rsidR="00A90777" w:rsidRPr="001B3524" w14:paraId="0BDFE4D8" w14:textId="77777777" w:rsidTr="001146C3">
        <w:trPr>
          <w:trHeight w:val="300"/>
        </w:trPr>
        <w:tc>
          <w:tcPr>
            <w:tcW w:w="10173" w:type="dxa"/>
            <w:gridSpan w:val="2"/>
            <w:noWrap/>
            <w:hideMark/>
          </w:tcPr>
          <w:p w14:paraId="22AAC1F7" w14:textId="77777777" w:rsidR="00A90777" w:rsidRPr="001B3524" w:rsidRDefault="00A90777" w:rsidP="001146C3">
            <w:pPr>
              <w:rPr>
                <w:b/>
                <w:bCs/>
              </w:rPr>
            </w:pPr>
            <w:r w:rsidRPr="001B3524">
              <w:rPr>
                <w:b/>
                <w:bCs/>
              </w:rPr>
              <w:t>Rationale</w:t>
            </w:r>
          </w:p>
        </w:tc>
      </w:tr>
      <w:tr w:rsidR="00A90777" w:rsidRPr="001B3524" w14:paraId="65D81F36" w14:textId="77777777" w:rsidTr="001146C3">
        <w:trPr>
          <w:trHeight w:val="300"/>
        </w:trPr>
        <w:tc>
          <w:tcPr>
            <w:tcW w:w="10173" w:type="dxa"/>
            <w:gridSpan w:val="2"/>
            <w:noWrap/>
            <w:hideMark/>
          </w:tcPr>
          <w:p w14:paraId="275AEA38" w14:textId="59407E8B" w:rsidR="00A90777" w:rsidRPr="001B3524" w:rsidRDefault="00514E89" w:rsidP="001146C3">
            <w:r w:rsidRPr="00514E89">
              <w:t>Grants of options or equity are not linked to performance of the company in any way or hurdles applying to incentives have not been disclosed.</w:t>
            </w:r>
          </w:p>
        </w:tc>
      </w:tr>
    </w:tbl>
    <w:p w14:paraId="48D1B001" w14:textId="77777777" w:rsidR="001E756A" w:rsidRDefault="001E756A" w:rsidP="00E61527">
      <w:pPr>
        <w:pStyle w:val="IntenseQuote"/>
        <w:rPr>
          <w:lang w:val="en-GB"/>
        </w:rPr>
      </w:pPr>
      <w:r>
        <w:rPr>
          <w:lang w:val="en-GB"/>
        </w:rPr>
        <w:t xml:space="preserve">Engagement </w:t>
      </w:r>
      <w:r w:rsidR="00E61527">
        <w:rPr>
          <w:lang w:val="en-GB"/>
        </w:rPr>
        <w:t>A</w:t>
      </w:r>
      <w:r>
        <w:rPr>
          <w:lang w:val="en-GB"/>
        </w:rPr>
        <w:t>ctivitie</w:t>
      </w:r>
      <w:r w:rsidR="00E61527">
        <w:rPr>
          <w:lang w:val="en-GB"/>
        </w:rPr>
        <w:t>s</w:t>
      </w:r>
    </w:p>
    <w:p w14:paraId="2BA2E803" w14:textId="6ACA73A0" w:rsidR="00514E89" w:rsidRPr="00693F8F" w:rsidRDefault="007B26F9" w:rsidP="00693F8F">
      <w:pPr>
        <w:pStyle w:val="Heading2"/>
        <w:rPr>
          <w:color w:val="DD6600" w:themeColor="accent4"/>
          <w:lang w:val="en-GB"/>
        </w:rPr>
      </w:pPr>
      <w:r w:rsidRPr="00693F8F">
        <w:rPr>
          <w:color w:val="DD6600" w:themeColor="accent4"/>
          <w:lang w:val="en-GB"/>
        </w:rPr>
        <w:t xml:space="preserve">Engagement with a </w:t>
      </w:r>
      <w:r w:rsidR="00514E89" w:rsidRPr="00693F8F">
        <w:rPr>
          <w:color w:val="DD6600" w:themeColor="accent4"/>
          <w:lang w:val="en-GB"/>
        </w:rPr>
        <w:t>U.S. based energy provider</w:t>
      </w:r>
    </w:p>
    <w:p w14:paraId="342182AD" w14:textId="5D62A2B2" w:rsidR="00514E89" w:rsidRDefault="007B26F9" w:rsidP="00514E89">
      <w:pPr>
        <w:rPr>
          <w:lang w:val="en-GB"/>
        </w:rPr>
      </w:pPr>
      <w:r w:rsidRPr="00693F8F">
        <w:rPr>
          <w:rFonts w:asciiTheme="majorHAnsi" w:hAnsiTheme="majorHAnsi" w:cs="Arial"/>
          <w:b/>
          <w:color w:val="66AADD" w:themeColor="accent1"/>
          <w:spacing w:val="-5"/>
          <w:szCs w:val="28"/>
        </w:rPr>
        <w:t>Topic</w:t>
      </w:r>
      <w:r>
        <w:rPr>
          <w:lang w:val="en-GB"/>
        </w:rPr>
        <w:t xml:space="preserve">: </w:t>
      </w:r>
      <w:r w:rsidR="00514E89" w:rsidRPr="00514E89">
        <w:rPr>
          <w:lang w:val="en-GB"/>
        </w:rPr>
        <w:t xml:space="preserve">Action against </w:t>
      </w:r>
      <w:proofErr w:type="spellStart"/>
      <w:r w:rsidR="00514E89" w:rsidRPr="00514E89">
        <w:rPr>
          <w:lang w:val="en-GB"/>
        </w:rPr>
        <w:t>overboarding</w:t>
      </w:r>
      <w:proofErr w:type="spellEnd"/>
    </w:p>
    <w:p w14:paraId="0380F98F" w14:textId="29020267" w:rsidR="00514E89" w:rsidRDefault="007B26F9" w:rsidP="00514E89">
      <w:pPr>
        <w:rPr>
          <w:lang w:val="en-GB"/>
        </w:rPr>
      </w:pPr>
      <w:r w:rsidRPr="00693F8F">
        <w:rPr>
          <w:rFonts w:asciiTheme="majorHAnsi" w:hAnsiTheme="majorHAnsi" w:cs="Arial"/>
          <w:b/>
          <w:color w:val="66AADD" w:themeColor="accent1"/>
          <w:spacing w:val="-5"/>
          <w:szCs w:val="28"/>
        </w:rPr>
        <w:t>Overview of Engagement</w:t>
      </w:r>
      <w:r>
        <w:rPr>
          <w:lang w:val="en-GB"/>
        </w:rPr>
        <w:t xml:space="preserve">: </w:t>
      </w:r>
      <w:r w:rsidR="00514E89" w:rsidRPr="00514E89">
        <w:rPr>
          <w:lang w:val="en-GB"/>
        </w:rPr>
        <w:t>Russell Investments maintains that best practice is for directors to limit their board membership to five or fewer publicly traded companies. We reviewed the slate of directors up for re-election and determined that one director had relevant industry experience, but too many other board positions to be able to allocate an appropriate amount of time to this company. Russell Investments voted against the director. Following the annual general meeting, we scheduled a discussion with the management team to communicate our vote decisions, and the company noted that other investors had also communicated their concerns.</w:t>
      </w:r>
    </w:p>
    <w:p w14:paraId="6E482551" w14:textId="46B7F89A" w:rsidR="007B26F9" w:rsidRPr="00514E89" w:rsidRDefault="007B26F9" w:rsidP="00514E89">
      <w:pPr>
        <w:rPr>
          <w:lang w:val="en-GB"/>
        </w:rPr>
      </w:pPr>
      <w:r w:rsidRPr="00693F8F">
        <w:rPr>
          <w:rFonts w:asciiTheme="majorHAnsi" w:hAnsiTheme="majorHAnsi" w:cs="Arial"/>
          <w:b/>
          <w:color w:val="66AADD" w:themeColor="accent1"/>
          <w:spacing w:val="-5"/>
          <w:szCs w:val="28"/>
        </w:rPr>
        <w:lastRenderedPageBreak/>
        <w:t>Outcome</w:t>
      </w:r>
      <w:r>
        <w:rPr>
          <w:lang w:val="en-GB"/>
        </w:rPr>
        <w:t xml:space="preserve">: </w:t>
      </w:r>
      <w:r w:rsidRPr="007B26F9">
        <w:rPr>
          <w:lang w:val="en-GB"/>
        </w:rPr>
        <w:t>We communicated that we will continue to vote against directors that are “over-boarded”. We will monitor to see whether the company responds to shareholder concerns and takes action on this issue and follow up as needed.</w:t>
      </w:r>
    </w:p>
    <w:p w14:paraId="6EB9B590" w14:textId="2284EB77" w:rsidR="001E756A" w:rsidRPr="00693F8F" w:rsidRDefault="001E756A" w:rsidP="00693F8F">
      <w:pPr>
        <w:pStyle w:val="Heading2"/>
        <w:rPr>
          <w:color w:val="DD6600" w:themeColor="accent4"/>
          <w:lang w:val="en-GB"/>
        </w:rPr>
      </w:pPr>
      <w:r w:rsidRPr="00693F8F">
        <w:rPr>
          <w:color w:val="DD6600" w:themeColor="accent4"/>
          <w:lang w:val="en-GB"/>
        </w:rPr>
        <w:t xml:space="preserve">Engagement </w:t>
      </w:r>
      <w:r w:rsidR="007B26F9" w:rsidRPr="00693F8F">
        <w:rPr>
          <w:color w:val="DD6600" w:themeColor="accent4"/>
          <w:lang w:val="en-GB"/>
        </w:rPr>
        <w:t>with an Australian utility company</w:t>
      </w:r>
    </w:p>
    <w:p w14:paraId="664895F0" w14:textId="42094299" w:rsidR="007B26F9" w:rsidRDefault="007B26F9" w:rsidP="006C4AF7">
      <w:pPr>
        <w:rPr>
          <w:lang w:val="en-GB"/>
        </w:rPr>
      </w:pPr>
      <w:r w:rsidRPr="00693F8F">
        <w:rPr>
          <w:rFonts w:asciiTheme="majorHAnsi" w:hAnsiTheme="majorHAnsi" w:cs="Arial"/>
          <w:b/>
          <w:color w:val="66AADD" w:themeColor="accent1"/>
          <w:spacing w:val="-5"/>
          <w:szCs w:val="28"/>
        </w:rPr>
        <w:t>Topic</w:t>
      </w:r>
      <w:r>
        <w:rPr>
          <w:lang w:val="en-GB"/>
        </w:rPr>
        <w:t xml:space="preserve">: </w:t>
      </w:r>
      <w:r w:rsidRPr="007B26F9">
        <w:rPr>
          <w:lang w:val="en-GB"/>
        </w:rPr>
        <w:t>Climate transition risk and transparency</w:t>
      </w:r>
    </w:p>
    <w:p w14:paraId="1ACA4216" w14:textId="7C433CDD" w:rsidR="007B26F9" w:rsidRPr="007B26F9" w:rsidRDefault="007B26F9" w:rsidP="007B26F9">
      <w:pPr>
        <w:rPr>
          <w:lang w:val="en-GB"/>
        </w:rPr>
      </w:pPr>
      <w:r w:rsidRPr="00693F8F">
        <w:rPr>
          <w:rFonts w:asciiTheme="majorHAnsi" w:hAnsiTheme="majorHAnsi" w:cs="Arial"/>
          <w:b/>
          <w:color w:val="66AADD" w:themeColor="accent1"/>
          <w:spacing w:val="-5"/>
          <w:szCs w:val="28"/>
        </w:rPr>
        <w:t>Overview of Engagement:</w:t>
      </w:r>
      <w:r>
        <w:rPr>
          <w:lang w:val="en-GB"/>
        </w:rPr>
        <w:t xml:space="preserve"> </w:t>
      </w:r>
      <w:r w:rsidRPr="007B26F9">
        <w:rPr>
          <w:lang w:val="en-GB"/>
        </w:rPr>
        <w:t>In 2019 an Australian utility company received shareholder proposals regarding transition planning for climate change and expenditures on pollution controls. Within sectors that have relatively high carbon emissions such as utilities, it is important to understand the company’s plans and context for future operations; simply voting in line with shareholder proponents on sensitive and important topics such as climate change is not necessarily in the best interests of shareholders or constructive for the future of the company.</w:t>
      </w:r>
    </w:p>
    <w:p w14:paraId="5C5617E3" w14:textId="77777777" w:rsidR="007B26F9" w:rsidRPr="007B26F9" w:rsidRDefault="007B26F9" w:rsidP="007B26F9">
      <w:pPr>
        <w:rPr>
          <w:lang w:val="en-GB"/>
        </w:rPr>
      </w:pPr>
      <w:r w:rsidRPr="007B26F9">
        <w:rPr>
          <w:lang w:val="en-GB"/>
        </w:rPr>
        <w:t>Although we voted against both shareholder resolutions, engaging with the company gave us comfort that climate-related issues are being addressed, and it provided us with catalysts and milestones to monitor to ensure that the transition to a cleaner and lower-emission future is on track. It was noted during the engagement with the company that climate-related disclosure could be improved to give shareholders a better understanding of the plans and risks around the business’ transition. The company committed to doing so through more comprehensive 2020 TCFD reporting.</w:t>
      </w:r>
    </w:p>
    <w:p w14:paraId="04062326" w14:textId="6DDF4DC2" w:rsidR="007B26F9" w:rsidRDefault="007B26F9" w:rsidP="007B26F9">
      <w:pPr>
        <w:rPr>
          <w:lang w:val="en-GB"/>
        </w:rPr>
      </w:pPr>
      <w:r w:rsidRPr="007B26F9">
        <w:rPr>
          <w:lang w:val="en-GB"/>
        </w:rPr>
        <w:t>Russell Investments has increased its focus within climate transition planning on water usage. Whilst this was not a specific aspect of the shareholder resolutions put forward to this company, we believe it is an important consideration. The company noted that water is a significant issue to manage on an ongoing basis as power plants rely on water to operate, and whilst they see no risks specifically from water usage at this time, it is an area that requires continued attention and warrants further disclosure to shareholders in the future.</w:t>
      </w:r>
    </w:p>
    <w:p w14:paraId="33EB5CA5" w14:textId="07A928C7" w:rsidR="007B26F9" w:rsidRDefault="007B26F9" w:rsidP="006C4AF7">
      <w:pPr>
        <w:rPr>
          <w:lang w:val="en-GB"/>
        </w:rPr>
      </w:pPr>
      <w:r w:rsidRPr="00693F8F">
        <w:rPr>
          <w:rFonts w:asciiTheme="majorHAnsi" w:hAnsiTheme="majorHAnsi" w:cs="Arial"/>
          <w:b/>
          <w:color w:val="66AADD" w:themeColor="accent1"/>
          <w:spacing w:val="-5"/>
          <w:szCs w:val="28"/>
        </w:rPr>
        <w:t>Outcome</w:t>
      </w:r>
      <w:r>
        <w:rPr>
          <w:lang w:val="en-GB"/>
        </w:rPr>
        <w:t xml:space="preserve">: </w:t>
      </w:r>
      <w:r w:rsidRPr="007B26F9">
        <w:rPr>
          <w:lang w:val="en-GB"/>
        </w:rPr>
        <w:t>This engagement gave us two key watch points for the company in 2020 to assess their transition away from a high carbon footprint. We will monitor the company’s TCFD reporting and additional disclosures on water in next year’s reporting.</w:t>
      </w:r>
    </w:p>
    <w:p w14:paraId="7D612F8A" w14:textId="464140C5" w:rsidR="007B26F9" w:rsidRPr="00693F8F" w:rsidRDefault="007B26F9" w:rsidP="00693F8F">
      <w:pPr>
        <w:pStyle w:val="Heading2"/>
        <w:rPr>
          <w:color w:val="DD6600" w:themeColor="accent4"/>
          <w:lang w:val="en-GB"/>
        </w:rPr>
      </w:pPr>
      <w:r w:rsidRPr="00693F8F">
        <w:rPr>
          <w:color w:val="DD6600" w:themeColor="accent4"/>
          <w:lang w:val="en-GB"/>
        </w:rPr>
        <w:t>Engagement with a North American power producer and supplier</w:t>
      </w:r>
    </w:p>
    <w:p w14:paraId="007A11FA" w14:textId="1848DFD9" w:rsidR="007B26F9" w:rsidRDefault="007B26F9" w:rsidP="006C4AF7">
      <w:pPr>
        <w:rPr>
          <w:lang w:val="en-GB"/>
        </w:rPr>
      </w:pPr>
      <w:r w:rsidRPr="00693F8F">
        <w:rPr>
          <w:rFonts w:asciiTheme="majorHAnsi" w:hAnsiTheme="majorHAnsi" w:cs="Arial"/>
          <w:b/>
          <w:color w:val="66AADD" w:themeColor="accent1"/>
          <w:spacing w:val="-5"/>
          <w:szCs w:val="28"/>
        </w:rPr>
        <w:t>Topic</w:t>
      </w:r>
      <w:r>
        <w:rPr>
          <w:lang w:val="en-GB"/>
        </w:rPr>
        <w:t xml:space="preserve">: </w:t>
      </w:r>
      <w:r w:rsidRPr="007B26F9">
        <w:rPr>
          <w:lang w:val="en-GB"/>
        </w:rPr>
        <w:t>Review of cyber security policies</w:t>
      </w:r>
    </w:p>
    <w:p w14:paraId="3F7BC68A" w14:textId="730B7386" w:rsidR="007B26F9" w:rsidRDefault="007B26F9" w:rsidP="006C4AF7">
      <w:pPr>
        <w:rPr>
          <w:lang w:val="en-GB"/>
        </w:rPr>
      </w:pPr>
      <w:r w:rsidRPr="00693F8F">
        <w:rPr>
          <w:rFonts w:asciiTheme="majorHAnsi" w:hAnsiTheme="majorHAnsi" w:cs="Arial"/>
          <w:b/>
          <w:color w:val="66AADD" w:themeColor="accent1"/>
          <w:spacing w:val="-5"/>
          <w:szCs w:val="28"/>
        </w:rPr>
        <w:t>Overview</w:t>
      </w:r>
      <w:r>
        <w:rPr>
          <w:lang w:val="en-GB"/>
        </w:rPr>
        <w:t xml:space="preserve">: We view </w:t>
      </w:r>
      <w:r w:rsidRPr="007B26F9">
        <w:rPr>
          <w:lang w:val="en-GB"/>
        </w:rPr>
        <w:t xml:space="preserve">cyber security </w:t>
      </w:r>
      <w:r>
        <w:rPr>
          <w:lang w:val="en-GB"/>
        </w:rPr>
        <w:t>as</w:t>
      </w:r>
      <w:r w:rsidRPr="007B26F9">
        <w:rPr>
          <w:lang w:val="en-GB"/>
        </w:rPr>
        <w:t xml:space="preserve"> a material risk for this industry</w:t>
      </w:r>
      <w:r>
        <w:rPr>
          <w:lang w:val="en-GB"/>
        </w:rPr>
        <w:t xml:space="preserve"> and as such we r</w:t>
      </w:r>
      <w:r w:rsidRPr="007B26F9">
        <w:rPr>
          <w:lang w:val="en-GB"/>
        </w:rPr>
        <w:t>eached out to the company for a review of its cyber security policies and practices. Information gathered by our Engagement Sub-committee included details about executive attention and resource staffing. Specifically, we learned that members of their security team are involved in a utilities industry group headed by the FBI and aimed at energy grid protection. Two members of the board are designated as “steeped” in cybersecurity issues. Finally, the compensation committee has worked to ensure that their compensation packages are high enough to attract the right level of talent in this area.</w:t>
      </w:r>
    </w:p>
    <w:p w14:paraId="0D015BF2" w14:textId="17DCBA58" w:rsidR="007B26F9" w:rsidRDefault="007B26F9" w:rsidP="006C4AF7">
      <w:pPr>
        <w:rPr>
          <w:lang w:val="en-GB"/>
        </w:rPr>
      </w:pPr>
      <w:r w:rsidRPr="00693F8F">
        <w:rPr>
          <w:rFonts w:asciiTheme="majorHAnsi" w:hAnsiTheme="majorHAnsi" w:cs="Arial"/>
          <w:b/>
          <w:color w:val="66AADD" w:themeColor="accent1"/>
          <w:spacing w:val="-5"/>
          <w:szCs w:val="28"/>
        </w:rPr>
        <w:t>Outcome</w:t>
      </w:r>
      <w:r>
        <w:rPr>
          <w:lang w:val="en-GB"/>
        </w:rPr>
        <w:t xml:space="preserve">: </w:t>
      </w:r>
      <w:r w:rsidRPr="007B26F9">
        <w:rPr>
          <w:lang w:val="en-GB"/>
        </w:rPr>
        <w:t>We were reassured that their cyber security efforts remain appropriately resourced; this outreach helps to outline the benchmark for other companies in the industry.</w:t>
      </w:r>
    </w:p>
    <w:p w14:paraId="23E29170" w14:textId="77777777" w:rsidR="00F0104C" w:rsidRDefault="00F0104C" w:rsidP="00E61527">
      <w:pPr>
        <w:pStyle w:val="IntenseQuote"/>
        <w:rPr>
          <w:lang w:val="en-GB"/>
        </w:rPr>
      </w:pPr>
      <w:r>
        <w:rPr>
          <w:lang w:val="en-GB"/>
        </w:rPr>
        <w:t>Industry Participation</w:t>
      </w:r>
    </w:p>
    <w:p w14:paraId="25ACD004" w14:textId="06CBE566" w:rsidR="006F0CF7" w:rsidRDefault="00F0104C" w:rsidP="006C4AF7">
      <w:pPr>
        <w:rPr>
          <w:lang w:val="en-GB"/>
        </w:rPr>
      </w:pPr>
      <w:r>
        <w:rPr>
          <w:lang w:val="en-GB"/>
        </w:rPr>
        <w:t xml:space="preserve">The Fiduciary Manager is a signatory to the UK Stewardship code and UN Principles for Responsible Investment (UN PRI). </w:t>
      </w:r>
      <w:r w:rsidR="007B26F9" w:rsidRPr="007B26F9">
        <w:rPr>
          <w:lang w:val="en-GB"/>
        </w:rPr>
        <w:t xml:space="preserve">As a globally recognised proponent of responsible investment, the UN-supported Principles for Responsible Investing (PRI) provides resources and best practices for investors incorporating ESG factors into their investment and ownership decisions. As a signatory to the PRI since 2009, Russell Investments has a long-standing relationship with the organisation and has completed the annual PRI assessment every year since 2013. The Principles are a set of global best practices that provide a framework for integrating ESG issues into financial analysis, investment decision-making and ownership practices. </w:t>
      </w:r>
      <w:r w:rsidR="0022164C">
        <w:rPr>
          <w:lang w:val="en-GB"/>
        </w:rPr>
        <w:t xml:space="preserve">Russell </w:t>
      </w:r>
      <w:r w:rsidR="0022164C">
        <w:rPr>
          <w:rFonts w:ascii="Arial" w:hAnsi="Arial" w:cs="Arial"/>
        </w:rPr>
        <w:t>Investments</w:t>
      </w:r>
      <w:r w:rsidR="0022164C" w:rsidRPr="00A763C5">
        <w:rPr>
          <w:rFonts w:ascii="Arial" w:hAnsi="Arial" w:cs="Arial"/>
        </w:rPr>
        <w:t xml:space="preserve"> </w:t>
      </w:r>
      <w:r w:rsidR="0022164C">
        <w:rPr>
          <w:lang w:val="en-GB"/>
        </w:rPr>
        <w:t xml:space="preserve">are </w:t>
      </w:r>
      <w:r w:rsidR="007B26F9" w:rsidRPr="007B26F9">
        <w:rPr>
          <w:lang w:val="en-GB"/>
        </w:rPr>
        <w:t>actively involved with the PRI, attending annual conferences and global seminars, and engaging on discussions of interest.</w:t>
      </w:r>
    </w:p>
    <w:p w14:paraId="46F6154F" w14:textId="4936425A" w:rsidR="006F0CF7" w:rsidRDefault="00693F8F" w:rsidP="006C4AF7">
      <w:pPr>
        <w:rPr>
          <w:lang w:val="en-GB"/>
        </w:rPr>
      </w:pPr>
      <w:r>
        <w:rPr>
          <w:lang w:val="en-GB"/>
        </w:rPr>
        <w:t xml:space="preserve">The current UN PRI scorecard scored Russell Investments as A+ or A in all </w:t>
      </w:r>
      <w:proofErr w:type="spellStart"/>
      <w:r>
        <w:rPr>
          <w:lang w:val="en-GB"/>
        </w:rPr>
        <w:t>categorises</w:t>
      </w:r>
      <w:proofErr w:type="spellEnd"/>
      <w:r>
        <w:rPr>
          <w:lang w:val="en-GB"/>
        </w:rPr>
        <w:t>. The average Median score across various categories was B.</w:t>
      </w:r>
    </w:p>
    <w:p w14:paraId="6F4ACCF2" w14:textId="77777777" w:rsidR="00691C49" w:rsidRDefault="001E756A" w:rsidP="00E61527">
      <w:pPr>
        <w:pStyle w:val="IntenseQuote"/>
        <w:rPr>
          <w:lang w:val="en-GB"/>
        </w:rPr>
      </w:pPr>
      <w:r>
        <w:rPr>
          <w:lang w:val="en-GB"/>
        </w:rPr>
        <w:lastRenderedPageBreak/>
        <w:t>Compliance with the policy over the period</w:t>
      </w:r>
    </w:p>
    <w:p w14:paraId="179C50B9" w14:textId="56A706BC" w:rsidR="00A90777" w:rsidRDefault="00B24459" w:rsidP="00B24459">
      <w:pPr>
        <w:rPr>
          <w:lang w:val="en-GB"/>
        </w:rPr>
      </w:pPr>
      <w:r w:rsidRPr="00B24459">
        <w:rPr>
          <w:lang w:val="en-GB"/>
        </w:rPr>
        <w:t xml:space="preserve">As </w:t>
      </w:r>
      <w:r w:rsidR="00A90777">
        <w:rPr>
          <w:lang w:val="en-GB"/>
        </w:rPr>
        <w:t xml:space="preserve">a </w:t>
      </w:r>
      <w:r w:rsidRPr="00B24459">
        <w:rPr>
          <w:lang w:val="en-GB"/>
        </w:rPr>
        <w:t>holder of assets with attaching voting rights, the Trustees are able to exercise these voting rights on behalf of members of the Scheme</w:t>
      </w:r>
      <w:r>
        <w:rPr>
          <w:lang w:val="en-GB"/>
        </w:rPr>
        <w:t xml:space="preserve"> and believe the best approach is to </w:t>
      </w:r>
      <w:r w:rsidRPr="00B24459">
        <w:rPr>
          <w:lang w:val="en-GB"/>
        </w:rPr>
        <w:t>delegate the</w:t>
      </w:r>
      <w:r w:rsidR="00A90777">
        <w:rPr>
          <w:lang w:val="en-GB"/>
        </w:rPr>
        <w:t xml:space="preserve"> execution of their policy to the Fiduciary Manager. </w:t>
      </w:r>
      <w:r w:rsidRPr="00B24459">
        <w:rPr>
          <w:lang w:val="en-GB"/>
        </w:rPr>
        <w:t xml:space="preserve">The Trustees have </w:t>
      </w:r>
      <w:r w:rsidR="00A90777">
        <w:rPr>
          <w:lang w:val="en-GB"/>
        </w:rPr>
        <w:t>receive</w:t>
      </w:r>
      <w:r w:rsidR="0022164C">
        <w:rPr>
          <w:lang w:val="en-GB"/>
        </w:rPr>
        <w:t>d</w:t>
      </w:r>
      <w:r w:rsidR="00A90777">
        <w:rPr>
          <w:lang w:val="en-GB"/>
        </w:rPr>
        <w:t xml:space="preserve"> information on the voting activity that has been carried out on their behalf on an annual basis </w:t>
      </w:r>
      <w:r w:rsidRPr="00B24459">
        <w:rPr>
          <w:lang w:val="en-GB"/>
        </w:rPr>
        <w:t>and are comfortable with the decisions taken.</w:t>
      </w:r>
      <w:r w:rsidR="00A90777" w:rsidRPr="00A90777">
        <w:rPr>
          <w:lang w:val="en-GB"/>
        </w:rPr>
        <w:t xml:space="preserve"> </w:t>
      </w:r>
    </w:p>
    <w:p w14:paraId="62D1756A" w14:textId="77777777" w:rsidR="00A90777" w:rsidRPr="00B24459" w:rsidRDefault="00A90777" w:rsidP="00A90777">
      <w:pPr>
        <w:rPr>
          <w:lang w:val="en-GB"/>
        </w:rPr>
      </w:pPr>
      <w:r w:rsidRPr="00A90777">
        <w:rPr>
          <w:lang w:val="en-GB"/>
        </w:rPr>
        <w:t>Over the course of 2020, the Trustees are pleased to report that they have in their opinion adhered to the policies set out in their SIP.</w:t>
      </w:r>
      <w:r>
        <w:rPr>
          <w:lang w:val="en-GB"/>
        </w:rPr>
        <w:t xml:space="preserve"> </w:t>
      </w:r>
      <w:r w:rsidRPr="00A90777">
        <w:rPr>
          <w:lang w:val="en-GB"/>
        </w:rPr>
        <w:t>The Trustees are pleased with the progress the managers have made over the year in this area and are continuing to work with them to develop their policies in the future.</w:t>
      </w:r>
    </w:p>
    <w:sectPr w:rsidR="00A90777" w:rsidRPr="00B24459" w:rsidSect="006209E3">
      <w:pgSz w:w="11907" w:h="16839" w:code="9"/>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6403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52EB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E25D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4F63F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5272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928B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7294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50BA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0087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7473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42D71"/>
    <w:multiLevelType w:val="multilevel"/>
    <w:tmpl w:val="10F853F6"/>
    <w:numStyleLink w:val="ListBullets"/>
  </w:abstractNum>
  <w:abstractNum w:abstractNumId="11" w15:restartNumberingAfterBreak="0">
    <w:nsid w:val="37EC1871"/>
    <w:multiLevelType w:val="multilevel"/>
    <w:tmpl w:val="09D2330A"/>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pStyle w:val="ListNumber6"/>
      <w:lvlText w:val="(%6)"/>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8DB5EA1"/>
    <w:multiLevelType w:val="multilevel"/>
    <w:tmpl w:val="10F853F6"/>
    <w:numStyleLink w:val="ListBullets"/>
  </w:abstractNum>
  <w:abstractNum w:abstractNumId="13" w15:restartNumberingAfterBreak="0">
    <w:nsid w:val="3FA975AE"/>
    <w:multiLevelType w:val="hybridMultilevel"/>
    <w:tmpl w:val="E5EC1016"/>
    <w:lvl w:ilvl="0" w:tplc="8BB2A8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3F19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5970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8034A0"/>
    <w:multiLevelType w:val="hybridMultilevel"/>
    <w:tmpl w:val="25B4E61C"/>
    <w:lvl w:ilvl="0" w:tplc="380689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53572"/>
    <w:multiLevelType w:val="multilevel"/>
    <w:tmpl w:val="09D2330A"/>
    <w:numStyleLink w:val="ListNumbers"/>
  </w:abstractNum>
  <w:abstractNum w:abstractNumId="18" w15:restartNumberingAfterBreak="0">
    <w:nsid w:val="6DEE057E"/>
    <w:multiLevelType w:val="multilevel"/>
    <w:tmpl w:val="10F853F6"/>
    <w:styleLink w:val="ListBullets"/>
    <w:lvl w:ilvl="0">
      <w:start w:val="1"/>
      <w:numFmt w:val="bullet"/>
      <w:pStyle w:val="ListBullet"/>
      <w:lvlText w:val=""/>
      <w:lvlJc w:val="left"/>
      <w:pPr>
        <w:ind w:left="360" w:hanging="360"/>
      </w:pPr>
      <w:rPr>
        <w:rFonts w:ascii="Wingdings" w:hAnsi="Wingdings" w:hint="default"/>
        <w:sz w:val="14"/>
      </w:rPr>
    </w:lvl>
    <w:lvl w:ilvl="1">
      <w:start w:val="1"/>
      <w:numFmt w:val="bullet"/>
      <w:pStyle w:val="ListBullet2"/>
      <w:lvlText w:val=""/>
      <w:lvlJc w:val="left"/>
      <w:pPr>
        <w:ind w:left="720" w:hanging="360"/>
      </w:pPr>
      <w:rPr>
        <w:rFonts w:ascii="Wingdings" w:hAnsi="Wingdings" w:hint="default"/>
        <w:sz w:val="14"/>
      </w:rPr>
    </w:lvl>
    <w:lvl w:ilvl="2">
      <w:start w:val="1"/>
      <w:numFmt w:val="bullet"/>
      <w:pStyle w:val="ListBullet3"/>
      <w:lvlText w:val=""/>
      <w:lvlJc w:val="left"/>
      <w:pPr>
        <w:ind w:left="1080" w:hanging="360"/>
      </w:pPr>
      <w:rPr>
        <w:rFonts w:ascii="Wingdings" w:hAnsi="Wingdings" w:hint="default"/>
        <w:color w:val="5F5F5F" w:themeColor="accent2"/>
        <w:sz w:val="14"/>
      </w:rPr>
    </w:lvl>
    <w:lvl w:ilvl="3">
      <w:start w:val="1"/>
      <w:numFmt w:val="bullet"/>
      <w:pStyle w:val="ListBullet4"/>
      <w:lvlText w:val=""/>
      <w:lvlJc w:val="left"/>
      <w:pPr>
        <w:ind w:left="1440" w:hanging="360"/>
      </w:pPr>
      <w:rPr>
        <w:rFonts w:ascii="Wingdings" w:hAnsi="Wingdings" w:hint="default"/>
        <w:color w:val="5F5F5F" w:themeColor="accent2"/>
        <w:sz w:val="14"/>
      </w:rPr>
    </w:lvl>
    <w:lvl w:ilvl="4">
      <w:start w:val="1"/>
      <w:numFmt w:val="bullet"/>
      <w:pStyle w:val="ListBullet5"/>
      <w:lvlText w:val=""/>
      <w:lvlJc w:val="left"/>
      <w:pPr>
        <w:ind w:left="1800" w:hanging="360"/>
      </w:pPr>
      <w:rPr>
        <w:rFonts w:ascii="Wingdings" w:hAnsi="Wingdings" w:hint="default"/>
        <w:color w:val="5F5F5F" w:themeColor="accent2"/>
        <w:sz w:val="1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4"/>
  </w:num>
  <w:num w:numId="2">
    <w:abstractNumId w:val="18"/>
  </w:num>
  <w:num w:numId="3">
    <w:abstractNumId w:val="9"/>
  </w:num>
  <w:num w:numId="4">
    <w:abstractNumId w:val="7"/>
  </w:num>
  <w:num w:numId="5">
    <w:abstractNumId w:val="6"/>
  </w:num>
  <w:num w:numId="6">
    <w:abstractNumId w:val="5"/>
  </w:num>
  <w:num w:numId="7">
    <w:abstractNumId w:val="4"/>
  </w:num>
  <w:num w:numId="8">
    <w:abstractNumId w:val="15"/>
  </w:num>
  <w:num w:numId="9">
    <w:abstractNumId w:val="8"/>
  </w:num>
  <w:num w:numId="10">
    <w:abstractNumId w:val="3"/>
  </w:num>
  <w:num w:numId="11">
    <w:abstractNumId w:val="2"/>
  </w:num>
  <w:num w:numId="12">
    <w:abstractNumId w:val="11"/>
  </w:num>
  <w:num w:numId="13">
    <w:abstractNumId w:val="1"/>
  </w:num>
  <w:num w:numId="14">
    <w:abstractNumId w:val="0"/>
  </w:num>
  <w:num w:numId="15">
    <w:abstractNumId w:val="10"/>
  </w:num>
  <w:num w:numId="16">
    <w:abstractNumId w:val="17"/>
  </w:num>
  <w:num w:numId="17">
    <w:abstractNumId w:val="12"/>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6A"/>
    <w:rsid w:val="00007DFF"/>
    <w:rsid w:val="00025D00"/>
    <w:rsid w:val="001B3524"/>
    <w:rsid w:val="001E756A"/>
    <w:rsid w:val="001F1CDB"/>
    <w:rsid w:val="002125B0"/>
    <w:rsid w:val="0022164C"/>
    <w:rsid w:val="003703F2"/>
    <w:rsid w:val="004A7417"/>
    <w:rsid w:val="00507686"/>
    <w:rsid w:val="00514E89"/>
    <w:rsid w:val="00547535"/>
    <w:rsid w:val="00572C82"/>
    <w:rsid w:val="005E03F8"/>
    <w:rsid w:val="006209E3"/>
    <w:rsid w:val="00691C49"/>
    <w:rsid w:val="00693F8F"/>
    <w:rsid w:val="006C4AF7"/>
    <w:rsid w:val="006E6CAF"/>
    <w:rsid w:val="006F0CF7"/>
    <w:rsid w:val="00754CE2"/>
    <w:rsid w:val="00767522"/>
    <w:rsid w:val="00796A6A"/>
    <w:rsid w:val="007B26F9"/>
    <w:rsid w:val="008465C3"/>
    <w:rsid w:val="0089334D"/>
    <w:rsid w:val="008A40DB"/>
    <w:rsid w:val="00943B9B"/>
    <w:rsid w:val="00981435"/>
    <w:rsid w:val="00A763C5"/>
    <w:rsid w:val="00A90777"/>
    <w:rsid w:val="00AC696A"/>
    <w:rsid w:val="00AD5558"/>
    <w:rsid w:val="00B03576"/>
    <w:rsid w:val="00B24459"/>
    <w:rsid w:val="00B35306"/>
    <w:rsid w:val="00BF1BE5"/>
    <w:rsid w:val="00C14237"/>
    <w:rsid w:val="00CB3B15"/>
    <w:rsid w:val="00DD0D67"/>
    <w:rsid w:val="00E50D20"/>
    <w:rsid w:val="00E61527"/>
    <w:rsid w:val="00E87ED7"/>
    <w:rsid w:val="00F0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56C1"/>
  <w15:chartTrackingRefBased/>
  <w15:docId w15:val="{9A919922-F1B2-4182-B85D-37248411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67"/>
    <w:rPr>
      <w:rFonts w:cs="Times New Roman"/>
    </w:rPr>
  </w:style>
  <w:style w:type="paragraph" w:styleId="Heading1">
    <w:name w:val="heading 1"/>
    <w:next w:val="Normal"/>
    <w:link w:val="Heading1Char"/>
    <w:uiPriority w:val="1"/>
    <w:qFormat/>
    <w:rsid w:val="00DD0D67"/>
    <w:pPr>
      <w:keepNext/>
      <w:tabs>
        <w:tab w:val="left" w:pos="360"/>
      </w:tabs>
      <w:spacing w:before="240" w:after="240"/>
      <w:outlineLvl w:val="0"/>
    </w:pPr>
    <w:rPr>
      <w:rFonts w:asciiTheme="majorHAnsi" w:hAnsiTheme="majorHAnsi" w:cs="Arial"/>
      <w:b/>
      <w:spacing w:val="-5"/>
      <w:sz w:val="28"/>
      <w:szCs w:val="28"/>
    </w:rPr>
  </w:style>
  <w:style w:type="paragraph" w:styleId="Heading2">
    <w:name w:val="heading 2"/>
    <w:basedOn w:val="Heading1"/>
    <w:next w:val="Normal"/>
    <w:link w:val="Heading2Char"/>
    <w:uiPriority w:val="1"/>
    <w:qFormat/>
    <w:rsid w:val="00691C49"/>
    <w:pPr>
      <w:spacing w:after="180"/>
      <w:outlineLvl w:val="1"/>
    </w:pPr>
    <w:rPr>
      <w:sz w:val="24"/>
      <w:szCs w:val="24"/>
    </w:rPr>
  </w:style>
  <w:style w:type="paragraph" w:styleId="Heading3">
    <w:name w:val="heading 3"/>
    <w:basedOn w:val="Heading1"/>
    <w:next w:val="Normal"/>
    <w:link w:val="Heading3Char"/>
    <w:uiPriority w:val="1"/>
    <w:qFormat/>
    <w:rsid w:val="00DD0D67"/>
    <w:pPr>
      <w:tabs>
        <w:tab w:val="clear" w:pos="360"/>
        <w:tab w:val="left" w:pos="540"/>
      </w:tabs>
      <w:spacing w:before="180" w:after="120"/>
      <w:outlineLvl w:val="2"/>
    </w:pPr>
    <w:rPr>
      <w:sz w:val="20"/>
    </w:rPr>
  </w:style>
  <w:style w:type="paragraph" w:styleId="Heading4">
    <w:name w:val="heading 4"/>
    <w:basedOn w:val="Heading1"/>
    <w:next w:val="Normal"/>
    <w:link w:val="Heading4Char"/>
    <w:uiPriority w:val="1"/>
    <w:qFormat/>
    <w:rsid w:val="00691C49"/>
    <w:pPr>
      <w:spacing w:before="120" w:after="120"/>
      <w:outlineLvl w:val="3"/>
    </w:pPr>
    <w:rPr>
      <w:b w:val="0"/>
      <w:i/>
      <w:sz w:val="20"/>
    </w:rPr>
  </w:style>
  <w:style w:type="paragraph" w:styleId="Heading5">
    <w:name w:val="heading 5"/>
    <w:basedOn w:val="Heading1"/>
    <w:next w:val="Normal"/>
    <w:link w:val="Heading5Char"/>
    <w:uiPriority w:val="9"/>
    <w:semiHidden/>
    <w:unhideWhenUsed/>
    <w:rsid w:val="00DD0D67"/>
    <w:pPr>
      <w:keepLines/>
      <w:spacing w:before="120" w:after="120"/>
      <w:outlineLvl w:val="4"/>
    </w:pPr>
    <w:rPr>
      <w:rFonts w:eastAsiaTheme="majorEastAsia" w:cstheme="majorBidi"/>
      <w:b w:val="0"/>
      <w:color w:val="1D5783" w:themeColor="accent1"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
    <w:qFormat/>
    <w:rsid w:val="00DD0D67"/>
    <w:pPr>
      <w:pBdr>
        <w:bottom w:val="single" w:sz="24" w:space="12" w:color="5F5F5F"/>
      </w:pBdr>
      <w:tabs>
        <w:tab w:val="right" w:pos="8640"/>
      </w:tabs>
      <w:spacing w:before="240" w:after="240"/>
    </w:pPr>
    <w:rPr>
      <w:rFonts w:asciiTheme="majorHAnsi" w:hAnsiTheme="majorHAnsi" w:cs="Times New Roman"/>
      <w:spacing w:val="-5"/>
      <w:sz w:val="44"/>
    </w:rPr>
  </w:style>
  <w:style w:type="character" w:customStyle="1" w:styleId="TitleChar">
    <w:name w:val="Title Char"/>
    <w:basedOn w:val="DefaultParagraphFont"/>
    <w:link w:val="Title"/>
    <w:uiPriority w:val="1"/>
    <w:rsid w:val="00DD0D67"/>
    <w:rPr>
      <w:rFonts w:asciiTheme="majorHAnsi" w:eastAsia="Times New Roman" w:hAnsiTheme="majorHAnsi" w:cs="Times New Roman"/>
      <w:spacing w:val="-5"/>
      <w:sz w:val="44"/>
    </w:rPr>
  </w:style>
  <w:style w:type="paragraph" w:styleId="Subtitle">
    <w:name w:val="Subtitle"/>
    <w:basedOn w:val="Normal"/>
    <w:next w:val="Normal"/>
    <w:link w:val="SubtitleChar"/>
    <w:uiPriority w:val="1"/>
    <w:qFormat/>
    <w:rsid w:val="00DD0D67"/>
    <w:pPr>
      <w:pBdr>
        <w:bottom w:val="single" w:sz="24" w:space="12" w:color="5F5F5F"/>
      </w:pBdr>
      <w:spacing w:after="240"/>
    </w:pPr>
    <w:rPr>
      <w:rFonts w:asciiTheme="majorHAnsi" w:hAnsiTheme="majorHAnsi"/>
      <w:color w:val="5F5F5F"/>
      <w:sz w:val="28"/>
      <w:szCs w:val="24"/>
    </w:rPr>
  </w:style>
  <w:style w:type="character" w:customStyle="1" w:styleId="SubtitleChar">
    <w:name w:val="Subtitle Char"/>
    <w:basedOn w:val="DefaultParagraphFont"/>
    <w:link w:val="Subtitle"/>
    <w:uiPriority w:val="1"/>
    <w:rsid w:val="00DD0D67"/>
    <w:rPr>
      <w:rFonts w:asciiTheme="majorHAnsi" w:eastAsia="Times New Roman" w:hAnsiTheme="majorHAnsi" w:cs="Times New Roman"/>
      <w:color w:val="5F5F5F"/>
      <w:sz w:val="28"/>
      <w:szCs w:val="24"/>
    </w:rPr>
  </w:style>
  <w:style w:type="character" w:customStyle="1" w:styleId="Heading1Char">
    <w:name w:val="Heading 1 Char"/>
    <w:basedOn w:val="DefaultParagraphFont"/>
    <w:link w:val="Heading1"/>
    <w:uiPriority w:val="1"/>
    <w:rsid w:val="00DD0D67"/>
    <w:rPr>
      <w:rFonts w:asciiTheme="majorHAnsi" w:eastAsia="Times New Roman" w:hAnsiTheme="majorHAnsi" w:cs="Arial"/>
      <w:b/>
      <w:spacing w:val="-5"/>
      <w:sz w:val="28"/>
      <w:szCs w:val="28"/>
    </w:rPr>
  </w:style>
  <w:style w:type="character" w:customStyle="1" w:styleId="Heading2Char">
    <w:name w:val="Heading 2 Char"/>
    <w:basedOn w:val="DefaultParagraphFont"/>
    <w:link w:val="Heading2"/>
    <w:uiPriority w:val="1"/>
    <w:rsid w:val="008465C3"/>
    <w:rPr>
      <w:rFonts w:ascii="Arial" w:eastAsia="Times New Roman" w:hAnsi="Arial" w:cs="Arial"/>
      <w:b/>
      <w:spacing w:val="-5"/>
      <w:sz w:val="24"/>
      <w:szCs w:val="24"/>
    </w:rPr>
  </w:style>
  <w:style w:type="character" w:customStyle="1" w:styleId="Heading3Char">
    <w:name w:val="Heading 3 Char"/>
    <w:basedOn w:val="DefaultParagraphFont"/>
    <w:link w:val="Heading3"/>
    <w:uiPriority w:val="1"/>
    <w:rsid w:val="00DD0D67"/>
    <w:rPr>
      <w:rFonts w:ascii="Arial" w:eastAsia="Times New Roman" w:hAnsi="Arial" w:cs="Arial"/>
      <w:b/>
      <w:spacing w:val="-5"/>
      <w:szCs w:val="28"/>
    </w:rPr>
  </w:style>
  <w:style w:type="character" w:customStyle="1" w:styleId="Heading4Char">
    <w:name w:val="Heading 4 Char"/>
    <w:basedOn w:val="DefaultParagraphFont"/>
    <w:link w:val="Heading4"/>
    <w:uiPriority w:val="1"/>
    <w:rsid w:val="008465C3"/>
    <w:rPr>
      <w:rFonts w:ascii="Arial" w:eastAsia="Times New Roman" w:hAnsi="Arial" w:cs="Arial"/>
      <w:i/>
      <w:spacing w:val="-5"/>
      <w:sz w:val="20"/>
      <w:szCs w:val="28"/>
    </w:rPr>
  </w:style>
  <w:style w:type="paragraph" w:styleId="Header">
    <w:name w:val="header"/>
    <w:basedOn w:val="Normal"/>
    <w:link w:val="HeaderChar"/>
    <w:uiPriority w:val="2"/>
    <w:semiHidden/>
    <w:unhideWhenUsed/>
    <w:rsid w:val="00691C49"/>
    <w:pPr>
      <w:spacing w:after="0"/>
    </w:pPr>
    <w:rPr>
      <w:color w:val="808080"/>
      <w:sz w:val="16"/>
    </w:rPr>
  </w:style>
  <w:style w:type="character" w:customStyle="1" w:styleId="HeaderChar">
    <w:name w:val="Header Char"/>
    <w:basedOn w:val="DefaultParagraphFont"/>
    <w:link w:val="Header"/>
    <w:uiPriority w:val="2"/>
    <w:semiHidden/>
    <w:rsid w:val="00DD0D67"/>
    <w:rPr>
      <w:rFonts w:eastAsia="Times New Roman" w:cs="Times New Roman"/>
      <w:color w:val="808080"/>
      <w:sz w:val="16"/>
    </w:rPr>
  </w:style>
  <w:style w:type="paragraph" w:styleId="Footer">
    <w:name w:val="footer"/>
    <w:basedOn w:val="Normal"/>
    <w:link w:val="FooterChar"/>
    <w:uiPriority w:val="2"/>
    <w:semiHidden/>
    <w:unhideWhenUsed/>
    <w:rsid w:val="00691C49"/>
    <w:pPr>
      <w:tabs>
        <w:tab w:val="right" w:pos="9360"/>
      </w:tabs>
    </w:pPr>
    <w:rPr>
      <w:color w:val="808080"/>
      <w:sz w:val="16"/>
    </w:rPr>
  </w:style>
  <w:style w:type="character" w:customStyle="1" w:styleId="FooterChar">
    <w:name w:val="Footer Char"/>
    <w:basedOn w:val="DefaultParagraphFont"/>
    <w:link w:val="Footer"/>
    <w:uiPriority w:val="2"/>
    <w:semiHidden/>
    <w:rsid w:val="00DD0D67"/>
    <w:rPr>
      <w:rFonts w:eastAsia="Times New Roman" w:cs="Times New Roman"/>
      <w:color w:val="808080"/>
      <w:sz w:val="16"/>
    </w:rPr>
  </w:style>
  <w:style w:type="paragraph" w:customStyle="1" w:styleId="Disclaimer">
    <w:name w:val="Disclaimer"/>
    <w:basedOn w:val="Normal"/>
    <w:uiPriority w:val="2"/>
    <w:rsid w:val="00691C49"/>
    <w:rPr>
      <w:color w:val="808080"/>
      <w:sz w:val="10"/>
    </w:rPr>
  </w:style>
  <w:style w:type="paragraph" w:customStyle="1" w:styleId="Author">
    <w:name w:val="Author"/>
    <w:basedOn w:val="Normal"/>
    <w:uiPriority w:val="2"/>
    <w:rsid w:val="00691C49"/>
    <w:pPr>
      <w:spacing w:after="240"/>
    </w:pPr>
  </w:style>
  <w:style w:type="paragraph" w:styleId="Date">
    <w:name w:val="Date"/>
    <w:basedOn w:val="Normal"/>
    <w:next w:val="Normal"/>
    <w:link w:val="DateChar"/>
    <w:uiPriority w:val="2"/>
    <w:rsid w:val="00691C49"/>
    <w:pPr>
      <w:spacing w:after="240"/>
    </w:pPr>
    <w:rPr>
      <w:i/>
    </w:rPr>
  </w:style>
  <w:style w:type="character" w:customStyle="1" w:styleId="DateChar">
    <w:name w:val="Date Char"/>
    <w:basedOn w:val="DefaultParagraphFont"/>
    <w:link w:val="Date"/>
    <w:uiPriority w:val="2"/>
    <w:rsid w:val="002125B0"/>
    <w:rPr>
      <w:rFonts w:eastAsia="Times New Roman" w:cs="Times New Roman"/>
      <w:i/>
    </w:rPr>
  </w:style>
  <w:style w:type="numbering" w:customStyle="1" w:styleId="ListBullets">
    <w:name w:val="ListBullets"/>
    <w:uiPriority w:val="99"/>
    <w:rsid w:val="00691C49"/>
    <w:pPr>
      <w:numPr>
        <w:numId w:val="2"/>
      </w:numPr>
    </w:pPr>
  </w:style>
  <w:style w:type="numbering" w:customStyle="1" w:styleId="ListNumbers">
    <w:name w:val="ListNumbers"/>
    <w:uiPriority w:val="99"/>
    <w:rsid w:val="0089334D"/>
    <w:pPr>
      <w:numPr>
        <w:numId w:val="12"/>
      </w:numPr>
    </w:pPr>
  </w:style>
  <w:style w:type="paragraph" w:styleId="ListBullet">
    <w:name w:val="List Bullet"/>
    <w:basedOn w:val="Normal"/>
    <w:uiPriority w:val="1"/>
    <w:qFormat/>
    <w:rsid w:val="0089334D"/>
    <w:pPr>
      <w:numPr>
        <w:numId w:val="17"/>
      </w:numPr>
    </w:pPr>
  </w:style>
  <w:style w:type="paragraph" w:styleId="ListBullet2">
    <w:name w:val="List Bullet 2"/>
    <w:basedOn w:val="Normal"/>
    <w:uiPriority w:val="99"/>
    <w:semiHidden/>
    <w:unhideWhenUsed/>
    <w:rsid w:val="0089334D"/>
    <w:pPr>
      <w:numPr>
        <w:ilvl w:val="1"/>
        <w:numId w:val="17"/>
      </w:numPr>
    </w:pPr>
  </w:style>
  <w:style w:type="paragraph" w:styleId="ListBullet3">
    <w:name w:val="List Bullet 3"/>
    <w:basedOn w:val="Normal"/>
    <w:uiPriority w:val="99"/>
    <w:semiHidden/>
    <w:unhideWhenUsed/>
    <w:rsid w:val="0089334D"/>
    <w:pPr>
      <w:numPr>
        <w:ilvl w:val="2"/>
        <w:numId w:val="17"/>
      </w:numPr>
    </w:pPr>
  </w:style>
  <w:style w:type="paragraph" w:styleId="ListBullet4">
    <w:name w:val="List Bullet 4"/>
    <w:basedOn w:val="Normal"/>
    <w:uiPriority w:val="99"/>
    <w:semiHidden/>
    <w:unhideWhenUsed/>
    <w:rsid w:val="0089334D"/>
    <w:pPr>
      <w:numPr>
        <w:ilvl w:val="3"/>
        <w:numId w:val="17"/>
      </w:numPr>
    </w:pPr>
  </w:style>
  <w:style w:type="paragraph" w:styleId="ListBullet5">
    <w:name w:val="List Bullet 5"/>
    <w:basedOn w:val="Normal"/>
    <w:uiPriority w:val="99"/>
    <w:semiHidden/>
    <w:unhideWhenUsed/>
    <w:rsid w:val="0089334D"/>
    <w:pPr>
      <w:numPr>
        <w:ilvl w:val="4"/>
        <w:numId w:val="17"/>
      </w:numPr>
    </w:pPr>
  </w:style>
  <w:style w:type="paragraph" w:styleId="ListNumber">
    <w:name w:val="List Number"/>
    <w:basedOn w:val="Normal"/>
    <w:uiPriority w:val="1"/>
    <w:qFormat/>
    <w:rsid w:val="00547535"/>
    <w:pPr>
      <w:numPr>
        <w:numId w:val="16"/>
      </w:numPr>
    </w:pPr>
  </w:style>
  <w:style w:type="paragraph" w:styleId="ListNumber2">
    <w:name w:val="List Number 2"/>
    <w:basedOn w:val="Normal"/>
    <w:uiPriority w:val="99"/>
    <w:semiHidden/>
    <w:unhideWhenUsed/>
    <w:rsid w:val="00547535"/>
    <w:pPr>
      <w:numPr>
        <w:ilvl w:val="1"/>
        <w:numId w:val="16"/>
      </w:numPr>
    </w:pPr>
  </w:style>
  <w:style w:type="paragraph" w:styleId="ListNumber3">
    <w:name w:val="List Number 3"/>
    <w:basedOn w:val="Normal"/>
    <w:uiPriority w:val="99"/>
    <w:semiHidden/>
    <w:unhideWhenUsed/>
    <w:rsid w:val="00547535"/>
    <w:pPr>
      <w:numPr>
        <w:ilvl w:val="2"/>
        <w:numId w:val="16"/>
      </w:numPr>
    </w:pPr>
  </w:style>
  <w:style w:type="paragraph" w:styleId="ListNumber4">
    <w:name w:val="List Number 4"/>
    <w:basedOn w:val="Normal"/>
    <w:uiPriority w:val="99"/>
    <w:semiHidden/>
    <w:unhideWhenUsed/>
    <w:rsid w:val="00547535"/>
    <w:pPr>
      <w:numPr>
        <w:ilvl w:val="3"/>
        <w:numId w:val="16"/>
      </w:numPr>
    </w:pPr>
  </w:style>
  <w:style w:type="paragraph" w:styleId="ListNumber5">
    <w:name w:val="List Number 5"/>
    <w:basedOn w:val="Normal"/>
    <w:uiPriority w:val="99"/>
    <w:semiHidden/>
    <w:unhideWhenUsed/>
    <w:rsid w:val="00547535"/>
    <w:pPr>
      <w:numPr>
        <w:ilvl w:val="4"/>
        <w:numId w:val="16"/>
      </w:numPr>
    </w:pPr>
  </w:style>
  <w:style w:type="paragraph" w:customStyle="1" w:styleId="ListNumber6">
    <w:name w:val="List Number 6"/>
    <w:basedOn w:val="Normal"/>
    <w:uiPriority w:val="99"/>
    <w:semiHidden/>
    <w:unhideWhenUsed/>
    <w:rsid w:val="00547535"/>
    <w:pPr>
      <w:numPr>
        <w:ilvl w:val="5"/>
        <w:numId w:val="16"/>
      </w:numPr>
    </w:pPr>
  </w:style>
  <w:style w:type="character" w:customStyle="1" w:styleId="Heading5Char">
    <w:name w:val="Heading 5 Char"/>
    <w:basedOn w:val="DefaultParagraphFont"/>
    <w:link w:val="Heading5"/>
    <w:uiPriority w:val="9"/>
    <w:semiHidden/>
    <w:rsid w:val="00DD0D67"/>
    <w:rPr>
      <w:rFonts w:asciiTheme="majorHAnsi" w:eastAsiaTheme="majorEastAsia" w:hAnsiTheme="majorHAnsi" w:cstheme="majorBidi"/>
      <w:color w:val="1D5783" w:themeColor="accent1" w:themeShade="7F"/>
      <w:spacing w:val="-5"/>
      <w:szCs w:val="28"/>
    </w:rPr>
  </w:style>
  <w:style w:type="table" w:styleId="TableGrid">
    <w:name w:val="Table Grid"/>
    <w:basedOn w:val="TableNormal"/>
    <w:uiPriority w:val="59"/>
    <w:unhideWhenUsed/>
    <w:rsid w:val="00572C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2C82"/>
    <w:rPr>
      <w:sz w:val="16"/>
      <w:szCs w:val="16"/>
    </w:rPr>
  </w:style>
  <w:style w:type="paragraph" w:styleId="CommentText">
    <w:name w:val="annotation text"/>
    <w:basedOn w:val="Normal"/>
    <w:link w:val="CommentTextChar"/>
    <w:uiPriority w:val="99"/>
    <w:semiHidden/>
    <w:unhideWhenUsed/>
    <w:rsid w:val="00572C82"/>
  </w:style>
  <w:style w:type="character" w:customStyle="1" w:styleId="CommentTextChar">
    <w:name w:val="Comment Text Char"/>
    <w:basedOn w:val="DefaultParagraphFont"/>
    <w:link w:val="CommentText"/>
    <w:uiPriority w:val="99"/>
    <w:semiHidden/>
    <w:rsid w:val="00572C82"/>
    <w:rPr>
      <w:rFonts w:cs="Times New Roman"/>
    </w:rPr>
  </w:style>
  <w:style w:type="paragraph" w:styleId="CommentSubject">
    <w:name w:val="annotation subject"/>
    <w:basedOn w:val="CommentText"/>
    <w:next w:val="CommentText"/>
    <w:link w:val="CommentSubjectChar"/>
    <w:uiPriority w:val="99"/>
    <w:semiHidden/>
    <w:unhideWhenUsed/>
    <w:rsid w:val="00572C82"/>
    <w:rPr>
      <w:b/>
      <w:bCs/>
    </w:rPr>
  </w:style>
  <w:style w:type="character" w:customStyle="1" w:styleId="CommentSubjectChar">
    <w:name w:val="Comment Subject Char"/>
    <w:basedOn w:val="CommentTextChar"/>
    <w:link w:val="CommentSubject"/>
    <w:uiPriority w:val="99"/>
    <w:semiHidden/>
    <w:rsid w:val="00572C82"/>
    <w:rPr>
      <w:rFonts w:cs="Times New Roman"/>
      <w:b/>
      <w:bCs/>
    </w:rPr>
  </w:style>
  <w:style w:type="paragraph" w:styleId="BalloonText">
    <w:name w:val="Balloon Text"/>
    <w:basedOn w:val="Normal"/>
    <w:link w:val="BalloonTextChar"/>
    <w:uiPriority w:val="99"/>
    <w:semiHidden/>
    <w:unhideWhenUsed/>
    <w:rsid w:val="00572C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C82"/>
    <w:rPr>
      <w:rFonts w:ascii="Segoe UI" w:hAnsi="Segoe UI" w:cs="Segoe UI"/>
      <w:sz w:val="18"/>
      <w:szCs w:val="18"/>
    </w:rPr>
  </w:style>
  <w:style w:type="paragraph" w:styleId="IntenseQuote">
    <w:name w:val="Intense Quote"/>
    <w:basedOn w:val="Normal"/>
    <w:next w:val="Normal"/>
    <w:link w:val="IntenseQuoteChar"/>
    <w:uiPriority w:val="30"/>
    <w:qFormat/>
    <w:rsid w:val="00E61527"/>
    <w:pPr>
      <w:pBdr>
        <w:top w:val="single" w:sz="4" w:space="10" w:color="66AADD" w:themeColor="accent1"/>
        <w:bottom w:val="single" w:sz="4" w:space="10" w:color="66AADD" w:themeColor="accent1"/>
      </w:pBdr>
      <w:spacing w:before="360" w:after="360"/>
      <w:ind w:left="864" w:right="864"/>
      <w:jc w:val="center"/>
    </w:pPr>
    <w:rPr>
      <w:i/>
      <w:iCs/>
      <w:color w:val="66AADD" w:themeColor="accent1"/>
    </w:rPr>
  </w:style>
  <w:style w:type="character" w:customStyle="1" w:styleId="IntenseQuoteChar">
    <w:name w:val="Intense Quote Char"/>
    <w:basedOn w:val="DefaultParagraphFont"/>
    <w:link w:val="IntenseQuote"/>
    <w:uiPriority w:val="30"/>
    <w:rsid w:val="00E61527"/>
    <w:rPr>
      <w:rFonts w:cs="Times New Roman"/>
      <w:i/>
      <w:iCs/>
      <w:color w:val="66AADD" w:themeColor="accent1"/>
    </w:rPr>
  </w:style>
  <w:style w:type="table" w:styleId="ListTable3-Accent1">
    <w:name w:val="List Table 3 Accent 1"/>
    <w:basedOn w:val="TableNormal"/>
    <w:uiPriority w:val="48"/>
    <w:rsid w:val="00B24459"/>
    <w:pPr>
      <w:spacing w:after="0"/>
    </w:pPr>
    <w:tblPr>
      <w:tblStyleRowBandSize w:val="1"/>
      <w:tblStyleColBandSize w:val="1"/>
      <w:tblBorders>
        <w:top w:val="single" w:sz="4" w:space="0" w:color="66AADD" w:themeColor="accent1"/>
        <w:left w:val="single" w:sz="4" w:space="0" w:color="66AADD" w:themeColor="accent1"/>
        <w:bottom w:val="single" w:sz="4" w:space="0" w:color="66AADD" w:themeColor="accent1"/>
        <w:right w:val="single" w:sz="4" w:space="0" w:color="66AADD" w:themeColor="accent1"/>
      </w:tblBorders>
    </w:tblPr>
    <w:tblStylePr w:type="firstRow">
      <w:rPr>
        <w:b/>
        <w:bCs/>
        <w:color w:val="FFFFFF" w:themeColor="background1"/>
      </w:rPr>
      <w:tblPr/>
      <w:tcPr>
        <w:shd w:val="clear" w:color="auto" w:fill="66AADD" w:themeFill="accent1"/>
      </w:tcPr>
    </w:tblStylePr>
    <w:tblStylePr w:type="lastRow">
      <w:rPr>
        <w:b/>
        <w:bCs/>
      </w:rPr>
      <w:tblPr/>
      <w:tcPr>
        <w:tcBorders>
          <w:top w:val="double" w:sz="4" w:space="0" w:color="66AA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DD" w:themeColor="accent1"/>
          <w:right w:val="single" w:sz="4" w:space="0" w:color="66AADD" w:themeColor="accent1"/>
        </w:tcBorders>
      </w:tcPr>
    </w:tblStylePr>
    <w:tblStylePr w:type="band1Horz">
      <w:tblPr/>
      <w:tcPr>
        <w:tcBorders>
          <w:top w:val="single" w:sz="4" w:space="0" w:color="66AADD" w:themeColor="accent1"/>
          <w:bottom w:val="single" w:sz="4" w:space="0" w:color="66AA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DD" w:themeColor="accent1"/>
          <w:left w:val="nil"/>
        </w:tcBorders>
      </w:tcPr>
    </w:tblStylePr>
    <w:tblStylePr w:type="swCell">
      <w:tblPr/>
      <w:tcPr>
        <w:tcBorders>
          <w:top w:val="double" w:sz="4" w:space="0" w:color="66AADD" w:themeColor="accent1"/>
          <w:right w:val="nil"/>
        </w:tcBorders>
      </w:tcPr>
    </w:tblStylePr>
  </w:style>
  <w:style w:type="table" w:styleId="ListTable4-Accent1">
    <w:name w:val="List Table 4 Accent 1"/>
    <w:basedOn w:val="TableNormal"/>
    <w:uiPriority w:val="49"/>
    <w:rsid w:val="00B24459"/>
    <w:pPr>
      <w:spacing w:after="0"/>
    </w:pPr>
    <w:tblPr>
      <w:tblStyleRowBandSize w:val="1"/>
      <w:tblStyleColBandSize w:val="1"/>
      <w:tblBorders>
        <w:top w:val="single" w:sz="4" w:space="0" w:color="A3CBEA" w:themeColor="accent1" w:themeTint="99"/>
        <w:left w:val="single" w:sz="4" w:space="0" w:color="A3CBEA" w:themeColor="accent1" w:themeTint="99"/>
        <w:bottom w:val="single" w:sz="4" w:space="0" w:color="A3CBEA" w:themeColor="accent1" w:themeTint="99"/>
        <w:right w:val="single" w:sz="4" w:space="0" w:color="A3CBEA" w:themeColor="accent1" w:themeTint="99"/>
        <w:insideH w:val="single" w:sz="4" w:space="0" w:color="A3CBEA" w:themeColor="accent1" w:themeTint="99"/>
      </w:tblBorders>
    </w:tblPr>
    <w:tblStylePr w:type="firstRow">
      <w:rPr>
        <w:b/>
        <w:bCs/>
        <w:color w:val="FFFFFF" w:themeColor="background1"/>
      </w:rPr>
      <w:tblPr/>
      <w:tcPr>
        <w:tcBorders>
          <w:top w:val="single" w:sz="4" w:space="0" w:color="66AADD" w:themeColor="accent1"/>
          <w:left w:val="single" w:sz="4" w:space="0" w:color="66AADD" w:themeColor="accent1"/>
          <w:bottom w:val="single" w:sz="4" w:space="0" w:color="66AADD" w:themeColor="accent1"/>
          <w:right w:val="single" w:sz="4" w:space="0" w:color="66AADD" w:themeColor="accent1"/>
          <w:insideH w:val="nil"/>
        </w:tcBorders>
        <w:shd w:val="clear" w:color="auto" w:fill="66AADD" w:themeFill="accent1"/>
      </w:tcPr>
    </w:tblStylePr>
    <w:tblStylePr w:type="lastRow">
      <w:rPr>
        <w:b/>
        <w:bCs/>
      </w:rPr>
      <w:tblPr/>
      <w:tcPr>
        <w:tcBorders>
          <w:top w:val="double" w:sz="4" w:space="0" w:color="A3CBEA" w:themeColor="accent1" w:themeTint="99"/>
        </w:tcBorders>
      </w:tcPr>
    </w:tblStylePr>
    <w:tblStylePr w:type="firstCol">
      <w:rPr>
        <w:b/>
        <w:bCs/>
      </w:rPr>
    </w:tblStylePr>
    <w:tblStylePr w:type="lastCol">
      <w:rPr>
        <w:b/>
        <w:bCs/>
      </w:rPr>
    </w:tblStylePr>
    <w:tblStylePr w:type="band1Vert">
      <w:tblPr/>
      <w:tcPr>
        <w:shd w:val="clear" w:color="auto" w:fill="E0EDF8" w:themeFill="accent1" w:themeFillTint="33"/>
      </w:tcPr>
    </w:tblStylePr>
    <w:tblStylePr w:type="band1Horz">
      <w:tblPr/>
      <w:tcPr>
        <w:shd w:val="clear" w:color="auto" w:fill="E0EDF8" w:themeFill="accent1" w:themeFillTint="33"/>
      </w:tcPr>
    </w:tblStylePr>
  </w:style>
  <w:style w:type="paragraph" w:styleId="ListParagraph">
    <w:name w:val="List Paragraph"/>
    <w:basedOn w:val="Normal"/>
    <w:uiPriority w:val="34"/>
    <w:qFormat/>
    <w:rsid w:val="00B35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32438">
      <w:bodyDiv w:val="1"/>
      <w:marLeft w:val="0"/>
      <w:marRight w:val="0"/>
      <w:marTop w:val="0"/>
      <w:marBottom w:val="0"/>
      <w:divBdr>
        <w:top w:val="none" w:sz="0" w:space="0" w:color="auto"/>
        <w:left w:val="none" w:sz="0" w:space="0" w:color="auto"/>
        <w:bottom w:val="none" w:sz="0" w:space="0" w:color="auto"/>
        <w:right w:val="none" w:sz="0" w:space="0" w:color="auto"/>
      </w:divBdr>
    </w:div>
    <w:div w:id="583802415">
      <w:bodyDiv w:val="1"/>
      <w:marLeft w:val="0"/>
      <w:marRight w:val="0"/>
      <w:marTop w:val="0"/>
      <w:marBottom w:val="0"/>
      <w:divBdr>
        <w:top w:val="none" w:sz="0" w:space="0" w:color="auto"/>
        <w:left w:val="none" w:sz="0" w:space="0" w:color="auto"/>
        <w:bottom w:val="none" w:sz="0" w:space="0" w:color="auto"/>
        <w:right w:val="none" w:sz="0" w:space="0" w:color="auto"/>
      </w:divBdr>
    </w:div>
    <w:div w:id="1091897405">
      <w:bodyDiv w:val="1"/>
      <w:marLeft w:val="0"/>
      <w:marRight w:val="0"/>
      <w:marTop w:val="0"/>
      <w:marBottom w:val="0"/>
      <w:divBdr>
        <w:top w:val="none" w:sz="0" w:space="0" w:color="auto"/>
        <w:left w:val="none" w:sz="0" w:space="0" w:color="auto"/>
        <w:bottom w:val="none" w:sz="0" w:space="0" w:color="auto"/>
        <w:right w:val="none" w:sz="0" w:space="0" w:color="auto"/>
      </w:divBdr>
    </w:div>
    <w:div w:id="13337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ussell">
      <a:dk1>
        <a:sysClr val="windowText" lastClr="000000"/>
      </a:dk1>
      <a:lt1>
        <a:sysClr val="window" lastClr="FFFFFF"/>
      </a:lt1>
      <a:dk2>
        <a:srgbClr val="996633"/>
      </a:dk2>
      <a:lt2>
        <a:srgbClr val="C7C1BB"/>
      </a:lt2>
      <a:accent1>
        <a:srgbClr val="66AADD"/>
      </a:accent1>
      <a:accent2>
        <a:srgbClr val="5F5F5F"/>
      </a:accent2>
      <a:accent3>
        <a:srgbClr val="003399"/>
      </a:accent3>
      <a:accent4>
        <a:srgbClr val="DD6600"/>
      </a:accent4>
      <a:accent5>
        <a:srgbClr val="969696"/>
      </a:accent5>
      <a:accent6>
        <a:srgbClr val="CCCCAA"/>
      </a:accent6>
      <a:hlink>
        <a:srgbClr val="003399"/>
      </a:hlink>
      <a:folHlink>
        <a:srgbClr val="DD6600"/>
      </a:folHlink>
    </a:clrScheme>
    <a:fontScheme name="Russel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2362</Words>
  <Characters>13469</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David</dc:creator>
  <cp:keywords/>
  <dc:description/>
  <cp:lastModifiedBy>chrissie@hardingroberts.co.uk</cp:lastModifiedBy>
  <cp:revision>2</cp:revision>
  <dcterms:created xsi:type="dcterms:W3CDTF">2020-09-29T09:38:00Z</dcterms:created>
  <dcterms:modified xsi:type="dcterms:W3CDTF">2020-09-29T09:38:00Z</dcterms:modified>
</cp:coreProperties>
</file>